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3A59598" w:rsidR="00580FE5" w:rsidRPr="00580FE5" w:rsidRDefault="00D34A2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Global </w:t>
                            </w:r>
                            <w:r w:rsidR="00715458">
                              <w:rPr>
                                <w:rFonts w:ascii="Open Sans" w:hAnsi="Open Sans" w:cs="Open Sans"/>
                                <w:color w:val="2C3C7E" w:themeColor="accent3"/>
                                <w:sz w:val="36"/>
                                <w:szCs w:val="36"/>
                              </w:rPr>
                              <w:t xml:space="preserve">Equity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3A59598" w:rsidR="00580FE5" w:rsidRPr="00580FE5" w:rsidRDefault="00D34A2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Global </w:t>
                      </w:r>
                      <w:r w:rsidR="00715458">
                        <w:rPr>
                          <w:rFonts w:ascii="Open Sans" w:hAnsi="Open Sans" w:cs="Open Sans"/>
                          <w:color w:val="2C3C7E" w:themeColor="accent3"/>
                          <w:sz w:val="36"/>
                          <w:szCs w:val="36"/>
                        </w:rPr>
                        <w:t xml:space="preserve">Equity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2DA13B30"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6F222C">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2DA13B30"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6F222C">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1F5D6C79" w:rsidR="00580FE5" w:rsidRPr="00580FE5" w:rsidRDefault="006F222C"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4C5EB632" w:rsidR="00580FE5" w:rsidRPr="00580FE5" w:rsidRDefault="00D34A2F" w:rsidP="00580FE5">
      <w:pPr>
        <w:spacing w:line="312" w:lineRule="auto"/>
        <w:rPr>
          <w:bCs/>
          <w:color w:val="575756" w:themeColor="accent1"/>
          <w:sz w:val="21"/>
          <w:szCs w:val="21"/>
        </w:rPr>
      </w:pPr>
      <w:r>
        <w:rPr>
          <w:rFonts w:cs="Calibri"/>
          <w:b/>
          <w:color w:val="575756" w:themeColor="accent1"/>
          <w:sz w:val="21"/>
          <w:szCs w:val="21"/>
        </w:rPr>
        <w:t>Flagship</w:t>
      </w:r>
      <w:r w:rsidR="00EB748F">
        <w:rPr>
          <w:rFonts w:cs="Calibri"/>
          <w:b/>
          <w:color w:val="575756" w:themeColor="accent1"/>
          <w:sz w:val="21"/>
          <w:szCs w:val="21"/>
        </w:rPr>
        <w:t xml:space="preserve"> Global </w:t>
      </w:r>
      <w:r w:rsidR="00715458">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740C80EE"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D34A2F">
        <w:rPr>
          <w:rFonts w:cs="Calibri"/>
          <w:bCs/>
          <w:color w:val="575756" w:themeColor="accent1"/>
          <w:sz w:val="21"/>
          <w:szCs w:val="21"/>
        </w:rPr>
        <w:t>66856</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1D34C68B"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3945D1" w:rsidRPr="003945D1">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39EC9951"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9C010C">
        <w:rPr>
          <w:rFonts w:cs="Arial"/>
          <w:color w:val="575756" w:themeColor="accent1"/>
          <w:szCs w:val="20"/>
          <w14:ligatures w14:val="standard"/>
        </w:rPr>
        <w:t>276844</w:t>
      </w:r>
    </w:p>
    <w:p w14:paraId="44B1870B" w14:textId="2BD9DAA4"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8D16CD">
        <w:rPr>
          <w:rFonts w:cs="Arial"/>
          <w:color w:val="575756" w:themeColor="accent1"/>
          <w:szCs w:val="20"/>
          <w14:ligatures w14:val="standard"/>
        </w:rPr>
        <w:t>7</w:t>
      </w:r>
      <w:r w:rsidR="009C010C">
        <w:rPr>
          <w:rFonts w:cs="Arial"/>
          <w:color w:val="575756" w:themeColor="accent1"/>
          <w:szCs w:val="20"/>
          <w14:ligatures w14:val="standard"/>
        </w:rPr>
        <w:t>1</w:t>
      </w:r>
      <w:r w:rsidRPr="00BE38D3">
        <w:rPr>
          <w:rFonts w:cs="Arial"/>
          <w:color w:val="575756" w:themeColor="accent1"/>
          <w:szCs w:val="20"/>
          <w14:ligatures w14:val="standard"/>
        </w:rPr>
        <w:t>BNTB60839870</w:t>
      </w:r>
      <w:r w:rsidR="009C010C">
        <w:rPr>
          <w:rFonts w:cs="Arial"/>
          <w:color w:val="575756" w:themeColor="accent1"/>
          <w:szCs w:val="20"/>
          <w14:ligatures w14:val="standard"/>
        </w:rPr>
        <w:t>276844</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12AB" w14:textId="77777777" w:rsidR="00BF292F" w:rsidRDefault="00BF292F" w:rsidP="006103C5">
      <w:r>
        <w:separator/>
      </w:r>
    </w:p>
  </w:endnote>
  <w:endnote w:type="continuationSeparator" w:id="0">
    <w:p w14:paraId="366E915A" w14:textId="77777777" w:rsidR="00BF292F" w:rsidRDefault="00BF292F" w:rsidP="006103C5">
      <w:r>
        <w:continuationSeparator/>
      </w:r>
    </w:p>
  </w:endnote>
  <w:endnote w:type="continuationNotice" w:id="1">
    <w:p w14:paraId="658AD306" w14:textId="77777777" w:rsidR="00BF292F" w:rsidRDefault="00BF2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31E68203"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6F222C">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4C6D" w14:textId="77777777" w:rsidR="00BF292F" w:rsidRDefault="00BF292F" w:rsidP="006103C5">
      <w:r>
        <w:separator/>
      </w:r>
    </w:p>
  </w:footnote>
  <w:footnote w:type="continuationSeparator" w:id="0">
    <w:p w14:paraId="19D65202" w14:textId="77777777" w:rsidR="00BF292F" w:rsidRDefault="00BF292F" w:rsidP="006103C5">
      <w:r>
        <w:continuationSeparator/>
      </w:r>
    </w:p>
  </w:footnote>
  <w:footnote w:type="continuationNotice" w:id="1">
    <w:p w14:paraId="0ED77BFB" w14:textId="77777777" w:rsidR="00BF292F" w:rsidRDefault="00BF2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53626"/>
    <w:rsid w:val="000703CE"/>
    <w:rsid w:val="00077E65"/>
    <w:rsid w:val="00080921"/>
    <w:rsid w:val="000C1E06"/>
    <w:rsid w:val="00145527"/>
    <w:rsid w:val="00164573"/>
    <w:rsid w:val="001745F8"/>
    <w:rsid w:val="001B01AD"/>
    <w:rsid w:val="001B3E70"/>
    <w:rsid w:val="001C33D1"/>
    <w:rsid w:val="001C45AD"/>
    <w:rsid w:val="001F120C"/>
    <w:rsid w:val="00207B1E"/>
    <w:rsid w:val="002236B1"/>
    <w:rsid w:val="00252C6E"/>
    <w:rsid w:val="00271E40"/>
    <w:rsid w:val="002840DB"/>
    <w:rsid w:val="00286051"/>
    <w:rsid w:val="002A73DA"/>
    <w:rsid w:val="002C4E81"/>
    <w:rsid w:val="002D78E0"/>
    <w:rsid w:val="00315A1D"/>
    <w:rsid w:val="00331469"/>
    <w:rsid w:val="003758C1"/>
    <w:rsid w:val="00386B0B"/>
    <w:rsid w:val="003945D1"/>
    <w:rsid w:val="003E1B50"/>
    <w:rsid w:val="003F4D4C"/>
    <w:rsid w:val="00401222"/>
    <w:rsid w:val="00420542"/>
    <w:rsid w:val="0042518F"/>
    <w:rsid w:val="00425675"/>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7CE9"/>
    <w:rsid w:val="005A0C7E"/>
    <w:rsid w:val="005A16ED"/>
    <w:rsid w:val="005A7E43"/>
    <w:rsid w:val="005B5B1E"/>
    <w:rsid w:val="005C5884"/>
    <w:rsid w:val="005C5DC9"/>
    <w:rsid w:val="005F4CB1"/>
    <w:rsid w:val="00607ABC"/>
    <w:rsid w:val="006103C5"/>
    <w:rsid w:val="00644217"/>
    <w:rsid w:val="0065143A"/>
    <w:rsid w:val="006530A8"/>
    <w:rsid w:val="00671D44"/>
    <w:rsid w:val="006849FF"/>
    <w:rsid w:val="00690D6C"/>
    <w:rsid w:val="006B30BA"/>
    <w:rsid w:val="006C7B40"/>
    <w:rsid w:val="006E5462"/>
    <w:rsid w:val="006E6DA1"/>
    <w:rsid w:val="006F222C"/>
    <w:rsid w:val="007135E1"/>
    <w:rsid w:val="00715458"/>
    <w:rsid w:val="00720A11"/>
    <w:rsid w:val="00726076"/>
    <w:rsid w:val="00736A64"/>
    <w:rsid w:val="00737383"/>
    <w:rsid w:val="00756A21"/>
    <w:rsid w:val="00772DC2"/>
    <w:rsid w:val="00773CF3"/>
    <w:rsid w:val="0079445E"/>
    <w:rsid w:val="007F00CA"/>
    <w:rsid w:val="00837760"/>
    <w:rsid w:val="00837775"/>
    <w:rsid w:val="00850A2F"/>
    <w:rsid w:val="00855819"/>
    <w:rsid w:val="00876FBE"/>
    <w:rsid w:val="008A2B2F"/>
    <w:rsid w:val="008C3105"/>
    <w:rsid w:val="008D16CD"/>
    <w:rsid w:val="008F3759"/>
    <w:rsid w:val="00901A97"/>
    <w:rsid w:val="00925B07"/>
    <w:rsid w:val="00934BE4"/>
    <w:rsid w:val="00936680"/>
    <w:rsid w:val="00943A29"/>
    <w:rsid w:val="009623C6"/>
    <w:rsid w:val="009628D9"/>
    <w:rsid w:val="00970E05"/>
    <w:rsid w:val="009B26E2"/>
    <w:rsid w:val="009B5A89"/>
    <w:rsid w:val="009B68F6"/>
    <w:rsid w:val="009C010C"/>
    <w:rsid w:val="009C1800"/>
    <w:rsid w:val="009D27BC"/>
    <w:rsid w:val="009F05D7"/>
    <w:rsid w:val="00A01481"/>
    <w:rsid w:val="00A27954"/>
    <w:rsid w:val="00A34663"/>
    <w:rsid w:val="00A742EB"/>
    <w:rsid w:val="00A86FE1"/>
    <w:rsid w:val="00AA0AC1"/>
    <w:rsid w:val="00AF3B6A"/>
    <w:rsid w:val="00B06668"/>
    <w:rsid w:val="00B2540B"/>
    <w:rsid w:val="00B36172"/>
    <w:rsid w:val="00B6247C"/>
    <w:rsid w:val="00B657CB"/>
    <w:rsid w:val="00B87B9E"/>
    <w:rsid w:val="00B9778C"/>
    <w:rsid w:val="00BC1AC8"/>
    <w:rsid w:val="00BD66B9"/>
    <w:rsid w:val="00BE07A1"/>
    <w:rsid w:val="00BE38D3"/>
    <w:rsid w:val="00BF2314"/>
    <w:rsid w:val="00BF292F"/>
    <w:rsid w:val="00C24CD6"/>
    <w:rsid w:val="00C25806"/>
    <w:rsid w:val="00C536A5"/>
    <w:rsid w:val="00D0223A"/>
    <w:rsid w:val="00D10BFB"/>
    <w:rsid w:val="00D34A2F"/>
    <w:rsid w:val="00D40EFF"/>
    <w:rsid w:val="00D54538"/>
    <w:rsid w:val="00D666C3"/>
    <w:rsid w:val="00D811F4"/>
    <w:rsid w:val="00DA3757"/>
    <w:rsid w:val="00DF2084"/>
    <w:rsid w:val="00E170BD"/>
    <w:rsid w:val="00E36646"/>
    <w:rsid w:val="00E53510"/>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3.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590</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2026-02-11T10:28:00Z</dcterms:created>
  <dcterms:modified xsi:type="dcterms:W3CDTF">2026-03-12T11:51:00Z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