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576C5B2" w:rsidR="00580FE5" w:rsidRPr="00580FE5" w:rsidRDefault="00A12A01"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Miplan </w:t>
                            </w:r>
                            <w:r w:rsidR="001C05ED">
                              <w:rPr>
                                <w:rFonts w:ascii="Open Sans" w:hAnsi="Open Sans" w:cs="Open Sans"/>
                                <w:color w:val="2C3C7E" w:themeColor="accent3"/>
                                <w:sz w:val="36"/>
                                <w:szCs w:val="36"/>
                              </w:rPr>
                              <w:t>Global</w:t>
                            </w:r>
                            <w:r w:rsidR="008465DE">
                              <w:rPr>
                                <w:rFonts w:ascii="Open Sans" w:hAnsi="Open Sans" w:cs="Open Sans"/>
                                <w:color w:val="2C3C7E" w:themeColor="accent3"/>
                                <w:sz w:val="36"/>
                                <w:szCs w:val="36"/>
                              </w:rPr>
                              <w:t xml:space="preserve"> </w:t>
                            </w:r>
                            <w:r>
                              <w:rPr>
                                <w:rFonts w:ascii="Open Sans" w:hAnsi="Open Sans" w:cs="Open Sans"/>
                                <w:color w:val="2C3C7E" w:themeColor="accent3"/>
                                <w:sz w:val="36"/>
                                <w:szCs w:val="36"/>
                              </w:rPr>
                              <w:t>Macro</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576C5B2" w:rsidR="00580FE5" w:rsidRPr="00580FE5" w:rsidRDefault="00A12A01"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Miplan </w:t>
                      </w:r>
                      <w:r w:rsidR="001C05ED">
                        <w:rPr>
                          <w:rFonts w:ascii="Open Sans" w:hAnsi="Open Sans" w:cs="Open Sans"/>
                          <w:color w:val="2C3C7E" w:themeColor="accent3"/>
                          <w:sz w:val="36"/>
                          <w:szCs w:val="36"/>
                        </w:rPr>
                        <w:t>Global</w:t>
                      </w:r>
                      <w:r w:rsidR="008465DE">
                        <w:rPr>
                          <w:rFonts w:ascii="Open Sans" w:hAnsi="Open Sans" w:cs="Open Sans"/>
                          <w:color w:val="2C3C7E" w:themeColor="accent3"/>
                          <w:sz w:val="36"/>
                          <w:szCs w:val="36"/>
                        </w:rPr>
                        <w:t xml:space="preserve"> </w:t>
                      </w:r>
                      <w:r>
                        <w:rPr>
                          <w:rFonts w:ascii="Open Sans" w:hAnsi="Open Sans" w:cs="Open Sans"/>
                          <w:color w:val="2C3C7E" w:themeColor="accent3"/>
                          <w:sz w:val="36"/>
                          <w:szCs w:val="36"/>
                        </w:rPr>
                        <w:t>Macro</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71814675"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B12B2D">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71814675"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B12B2D">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621BCAFF" w:rsidR="00580FE5" w:rsidRPr="00580FE5" w:rsidRDefault="00B12B2D"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5F7F99E9" w:rsidR="00580FE5" w:rsidRPr="00580FE5" w:rsidRDefault="00A12A01" w:rsidP="00580FE5">
      <w:pPr>
        <w:spacing w:line="312" w:lineRule="auto"/>
        <w:rPr>
          <w:bCs/>
          <w:color w:val="575756" w:themeColor="accent1"/>
          <w:sz w:val="21"/>
          <w:szCs w:val="21"/>
        </w:rPr>
      </w:pPr>
      <w:r>
        <w:rPr>
          <w:rFonts w:cs="Calibri"/>
          <w:b/>
          <w:color w:val="575756" w:themeColor="accent1"/>
          <w:sz w:val="21"/>
          <w:szCs w:val="21"/>
        </w:rPr>
        <w:t xml:space="preserve">Miplan </w:t>
      </w:r>
      <w:r w:rsidR="001C05ED">
        <w:rPr>
          <w:rFonts w:cs="Calibri"/>
          <w:b/>
          <w:color w:val="575756" w:themeColor="accent1"/>
          <w:sz w:val="21"/>
          <w:szCs w:val="21"/>
        </w:rPr>
        <w:t>Global</w:t>
      </w:r>
      <w:r w:rsidR="008465DE">
        <w:rPr>
          <w:rFonts w:cs="Calibri"/>
          <w:b/>
          <w:color w:val="575756" w:themeColor="accent1"/>
          <w:sz w:val="21"/>
          <w:szCs w:val="21"/>
        </w:rPr>
        <w:t xml:space="preserve"> </w:t>
      </w:r>
      <w:r>
        <w:rPr>
          <w:rFonts w:cs="Calibri"/>
          <w:b/>
          <w:color w:val="575756" w:themeColor="accent1"/>
          <w:sz w:val="21"/>
          <w:szCs w:val="21"/>
        </w:rPr>
        <w:t>Macro</w:t>
      </w:r>
      <w:r w:rsidR="00580FE5" w:rsidRPr="00580FE5">
        <w:rPr>
          <w:rFonts w:cs="Calibri"/>
          <w:b/>
          <w:color w:val="575756" w:themeColor="accent1"/>
          <w:sz w:val="21"/>
          <w:szCs w:val="21"/>
        </w:rPr>
        <w:t xml:space="preserve"> Fund</w:t>
      </w:r>
      <w:r w:rsidR="008465DE">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DE30114"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741058">
        <w:rPr>
          <w:rFonts w:cs="Calibri"/>
          <w:bCs/>
          <w:color w:val="575756" w:themeColor="accent1"/>
          <w:sz w:val="21"/>
          <w:szCs w:val="21"/>
        </w:rPr>
        <w:t>6685</w:t>
      </w:r>
      <w:r w:rsidR="00A12A01">
        <w:rPr>
          <w:rFonts w:cs="Calibri"/>
          <w:bCs/>
          <w:color w:val="575756" w:themeColor="accent1"/>
          <w:sz w:val="21"/>
          <w:szCs w:val="21"/>
        </w:rPr>
        <w:t>5</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0D0EC682"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BE1930" w:rsidRPr="00BE1930">
        <w:rPr>
          <w:rFonts w:cs="Arial"/>
          <w:color w:val="575756" w:themeColor="accent1"/>
          <w:szCs w:val="20"/>
          <w14:ligatures w14:val="standard"/>
        </w:rPr>
        <w:t>AFACS GSY Ltd RE AFMG ICC CLT A/</w:t>
      </w:r>
      <w:r w:rsidR="00BE1930">
        <w:rPr>
          <w:rFonts w:cs="Arial"/>
          <w:color w:val="575756" w:themeColor="accent1"/>
          <w:szCs w:val="20"/>
          <w14:ligatures w14:val="standard"/>
        </w:rPr>
        <w:t>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3F7AB78F"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w:t>
      </w:r>
      <w:r w:rsidR="00B36172">
        <w:rPr>
          <w:rFonts w:cs="Arial"/>
          <w:color w:val="575756" w:themeColor="accent1"/>
          <w:szCs w:val="20"/>
          <w14:ligatures w14:val="standard"/>
        </w:rPr>
        <w:t>0</w:t>
      </w:r>
      <w:r w:rsidR="009C010C">
        <w:rPr>
          <w:rFonts w:cs="Arial"/>
          <w:color w:val="575756" w:themeColor="accent1"/>
          <w:szCs w:val="20"/>
          <w14:ligatures w14:val="standard"/>
        </w:rPr>
        <w:t>27</w:t>
      </w:r>
      <w:r w:rsidR="00A43C7B">
        <w:rPr>
          <w:rFonts w:cs="Arial"/>
          <w:color w:val="575756" w:themeColor="accent1"/>
          <w:szCs w:val="20"/>
          <w14:ligatures w14:val="standard"/>
        </w:rPr>
        <w:t>6</w:t>
      </w:r>
      <w:r w:rsidR="00455003">
        <w:rPr>
          <w:rFonts w:cs="Arial"/>
          <w:color w:val="575756" w:themeColor="accent1"/>
          <w:szCs w:val="20"/>
          <w14:ligatures w14:val="standard"/>
        </w:rPr>
        <w:t>8</w:t>
      </w:r>
      <w:r w:rsidR="00615303">
        <w:rPr>
          <w:rFonts w:cs="Arial"/>
          <w:color w:val="575756" w:themeColor="accent1"/>
          <w:szCs w:val="20"/>
          <w14:ligatures w14:val="standard"/>
        </w:rPr>
        <w:t>87</w:t>
      </w:r>
    </w:p>
    <w:p w14:paraId="44B1870B" w14:textId="416044F3"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615303">
        <w:rPr>
          <w:rFonts w:cs="Arial"/>
          <w:color w:val="575756" w:themeColor="accent1"/>
          <w:szCs w:val="20"/>
          <w14:ligatures w14:val="standard"/>
        </w:rPr>
        <w:t>74</w:t>
      </w:r>
      <w:r w:rsidRPr="00BE38D3">
        <w:rPr>
          <w:rFonts w:cs="Arial"/>
          <w:color w:val="575756" w:themeColor="accent1"/>
          <w:szCs w:val="20"/>
          <w14:ligatures w14:val="standard"/>
        </w:rPr>
        <w:t>BNTB60839870</w:t>
      </w:r>
      <w:r w:rsidR="009C010C">
        <w:rPr>
          <w:rFonts w:cs="Arial"/>
          <w:color w:val="575756" w:themeColor="accent1"/>
          <w:szCs w:val="20"/>
          <w14:ligatures w14:val="standard"/>
        </w:rPr>
        <w:t>276</w:t>
      </w:r>
      <w:r w:rsidR="00455003">
        <w:rPr>
          <w:rFonts w:cs="Arial"/>
          <w:color w:val="575756" w:themeColor="accent1"/>
          <w:szCs w:val="20"/>
          <w14:ligatures w14:val="standard"/>
        </w:rPr>
        <w:t>8</w:t>
      </w:r>
      <w:r w:rsidR="00615303">
        <w:rPr>
          <w:rFonts w:cs="Arial"/>
          <w:color w:val="575756" w:themeColor="accent1"/>
          <w:szCs w:val="20"/>
          <w14:ligatures w14:val="standard"/>
        </w:rPr>
        <w:t>87</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46C5" w14:textId="77777777" w:rsidR="00595FA9" w:rsidRDefault="00595FA9" w:rsidP="006103C5">
      <w:r>
        <w:separator/>
      </w:r>
    </w:p>
  </w:endnote>
  <w:endnote w:type="continuationSeparator" w:id="0">
    <w:p w14:paraId="230D1327" w14:textId="77777777" w:rsidR="00595FA9" w:rsidRDefault="00595FA9" w:rsidP="006103C5">
      <w:r>
        <w:continuationSeparator/>
      </w:r>
    </w:p>
  </w:endnote>
  <w:endnote w:type="continuationNotice" w:id="1">
    <w:p w14:paraId="0B5EAF27" w14:textId="77777777" w:rsidR="00595FA9" w:rsidRDefault="0059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13DF2AFE"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B12B2D">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C197" w14:textId="77777777" w:rsidR="00595FA9" w:rsidRDefault="00595FA9" w:rsidP="006103C5">
      <w:r>
        <w:separator/>
      </w:r>
    </w:p>
  </w:footnote>
  <w:footnote w:type="continuationSeparator" w:id="0">
    <w:p w14:paraId="4BC9561E" w14:textId="77777777" w:rsidR="00595FA9" w:rsidRDefault="00595FA9" w:rsidP="006103C5">
      <w:r>
        <w:continuationSeparator/>
      </w:r>
    </w:p>
  </w:footnote>
  <w:footnote w:type="continuationNotice" w:id="1">
    <w:p w14:paraId="55D602C7" w14:textId="77777777" w:rsidR="00595FA9" w:rsidRDefault="00595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53626"/>
    <w:rsid w:val="000703CE"/>
    <w:rsid w:val="00080921"/>
    <w:rsid w:val="000C1E06"/>
    <w:rsid w:val="00145527"/>
    <w:rsid w:val="00164573"/>
    <w:rsid w:val="001745F8"/>
    <w:rsid w:val="001B01AD"/>
    <w:rsid w:val="001B3E70"/>
    <w:rsid w:val="001C05ED"/>
    <w:rsid w:val="001C33D1"/>
    <w:rsid w:val="001C45AD"/>
    <w:rsid w:val="001F120C"/>
    <w:rsid w:val="00207B1E"/>
    <w:rsid w:val="002236B1"/>
    <w:rsid w:val="00252C6E"/>
    <w:rsid w:val="00271E40"/>
    <w:rsid w:val="002840DB"/>
    <w:rsid w:val="00286051"/>
    <w:rsid w:val="002A73DA"/>
    <w:rsid w:val="002C4E81"/>
    <w:rsid w:val="002D78E0"/>
    <w:rsid w:val="00315A1D"/>
    <w:rsid w:val="00331469"/>
    <w:rsid w:val="003758C1"/>
    <w:rsid w:val="00386B0B"/>
    <w:rsid w:val="003A5169"/>
    <w:rsid w:val="003B7095"/>
    <w:rsid w:val="003E1B50"/>
    <w:rsid w:val="003F4D4C"/>
    <w:rsid w:val="00401222"/>
    <w:rsid w:val="00420542"/>
    <w:rsid w:val="0042518F"/>
    <w:rsid w:val="00425675"/>
    <w:rsid w:val="00455003"/>
    <w:rsid w:val="00461D49"/>
    <w:rsid w:val="00483A2C"/>
    <w:rsid w:val="00486BA4"/>
    <w:rsid w:val="004A3817"/>
    <w:rsid w:val="004B4C11"/>
    <w:rsid w:val="004C2D65"/>
    <w:rsid w:val="004C47A1"/>
    <w:rsid w:val="004D2736"/>
    <w:rsid w:val="004D37EE"/>
    <w:rsid w:val="004E1390"/>
    <w:rsid w:val="004E4BD5"/>
    <w:rsid w:val="004F1348"/>
    <w:rsid w:val="0051037F"/>
    <w:rsid w:val="005114BA"/>
    <w:rsid w:val="00515834"/>
    <w:rsid w:val="00525426"/>
    <w:rsid w:val="005426E6"/>
    <w:rsid w:val="00561079"/>
    <w:rsid w:val="00580FE5"/>
    <w:rsid w:val="00595FA9"/>
    <w:rsid w:val="00597CE9"/>
    <w:rsid w:val="005A0C7E"/>
    <w:rsid w:val="005A16ED"/>
    <w:rsid w:val="005B5B1E"/>
    <w:rsid w:val="005C5DC9"/>
    <w:rsid w:val="005F4CB1"/>
    <w:rsid w:val="00607ABC"/>
    <w:rsid w:val="006103C5"/>
    <w:rsid w:val="00615303"/>
    <w:rsid w:val="00644217"/>
    <w:rsid w:val="0065143A"/>
    <w:rsid w:val="006530A8"/>
    <w:rsid w:val="00671D44"/>
    <w:rsid w:val="006849FF"/>
    <w:rsid w:val="00690D6C"/>
    <w:rsid w:val="006B30BA"/>
    <w:rsid w:val="006C7B40"/>
    <w:rsid w:val="006E5462"/>
    <w:rsid w:val="006E6DA1"/>
    <w:rsid w:val="007135E1"/>
    <w:rsid w:val="00715458"/>
    <w:rsid w:val="00720A11"/>
    <w:rsid w:val="00726076"/>
    <w:rsid w:val="00736A64"/>
    <w:rsid w:val="00737383"/>
    <w:rsid w:val="00741058"/>
    <w:rsid w:val="00756A21"/>
    <w:rsid w:val="00772DC2"/>
    <w:rsid w:val="00773CF3"/>
    <w:rsid w:val="0079445E"/>
    <w:rsid w:val="007D422A"/>
    <w:rsid w:val="007F00CA"/>
    <w:rsid w:val="00837760"/>
    <w:rsid w:val="00837775"/>
    <w:rsid w:val="008465DE"/>
    <w:rsid w:val="00850A2F"/>
    <w:rsid w:val="00855819"/>
    <w:rsid w:val="00876FBE"/>
    <w:rsid w:val="008A2B2F"/>
    <w:rsid w:val="008C3105"/>
    <w:rsid w:val="008D0EB2"/>
    <w:rsid w:val="008D16CD"/>
    <w:rsid w:val="008F3759"/>
    <w:rsid w:val="00901A97"/>
    <w:rsid w:val="00925B07"/>
    <w:rsid w:val="00934BE4"/>
    <w:rsid w:val="00936680"/>
    <w:rsid w:val="00943A29"/>
    <w:rsid w:val="009623C6"/>
    <w:rsid w:val="009628D9"/>
    <w:rsid w:val="00970E05"/>
    <w:rsid w:val="009B26E2"/>
    <w:rsid w:val="009B5A89"/>
    <w:rsid w:val="009B68F6"/>
    <w:rsid w:val="009C010C"/>
    <w:rsid w:val="009C1800"/>
    <w:rsid w:val="009D27BC"/>
    <w:rsid w:val="009F05D7"/>
    <w:rsid w:val="00A01481"/>
    <w:rsid w:val="00A12A01"/>
    <w:rsid w:val="00A27954"/>
    <w:rsid w:val="00A34663"/>
    <w:rsid w:val="00A43C7B"/>
    <w:rsid w:val="00A742EB"/>
    <w:rsid w:val="00A86FE1"/>
    <w:rsid w:val="00AA0AC1"/>
    <w:rsid w:val="00AF3B6A"/>
    <w:rsid w:val="00B06668"/>
    <w:rsid w:val="00B12B2D"/>
    <w:rsid w:val="00B13CED"/>
    <w:rsid w:val="00B2540B"/>
    <w:rsid w:val="00B36172"/>
    <w:rsid w:val="00B54576"/>
    <w:rsid w:val="00B6247C"/>
    <w:rsid w:val="00B657CB"/>
    <w:rsid w:val="00B87B9E"/>
    <w:rsid w:val="00B9778C"/>
    <w:rsid w:val="00BC1AC8"/>
    <w:rsid w:val="00BD2B42"/>
    <w:rsid w:val="00BD66B9"/>
    <w:rsid w:val="00BE07A1"/>
    <w:rsid w:val="00BE1930"/>
    <w:rsid w:val="00BE38D3"/>
    <w:rsid w:val="00BF2314"/>
    <w:rsid w:val="00C24CD6"/>
    <w:rsid w:val="00C536A5"/>
    <w:rsid w:val="00D0223A"/>
    <w:rsid w:val="00D10BFB"/>
    <w:rsid w:val="00D34A2F"/>
    <w:rsid w:val="00D40EFF"/>
    <w:rsid w:val="00D54538"/>
    <w:rsid w:val="00D666C3"/>
    <w:rsid w:val="00D811F4"/>
    <w:rsid w:val="00DA3757"/>
    <w:rsid w:val="00DF2084"/>
    <w:rsid w:val="00E170BD"/>
    <w:rsid w:val="00E36646"/>
    <w:rsid w:val="00E53510"/>
    <w:rsid w:val="00E74B44"/>
    <w:rsid w:val="00EA3FA6"/>
    <w:rsid w:val="00EA7829"/>
    <w:rsid w:val="00EB2DD6"/>
    <w:rsid w:val="00EB3A21"/>
    <w:rsid w:val="00EB4B97"/>
    <w:rsid w:val="00EB748F"/>
    <w:rsid w:val="00EC0262"/>
    <w:rsid w:val="00ED5E80"/>
    <w:rsid w:val="00EE08B5"/>
    <w:rsid w:val="00F12A9E"/>
    <w:rsid w:val="00F1614E"/>
    <w:rsid w:val="00F26141"/>
    <w:rsid w:val="00F30908"/>
    <w:rsid w:val="00F356D6"/>
    <w:rsid w:val="00F41EF8"/>
    <w:rsid w:val="00F529A1"/>
    <w:rsid w:val="00F62A1C"/>
    <w:rsid w:val="00FC2F4D"/>
    <w:rsid w:val="00FD2A35"/>
    <w:rsid w:val="00FD4A64"/>
    <w:rsid w:val="00FE338F"/>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2.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590</Words>
  <Characters>3366</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2026-02-11T10:48:00Z</dcterms:created>
  <dcterms:modified xsi:type="dcterms:W3CDTF">2026-03-12T12:24:00Z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