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11" w:rsidRDefault="00BB7111" w:rsidP="00BB7111">
      <w:pPr>
        <w:pStyle w:val="Default"/>
        <w:spacing w:after="60"/>
        <w:jc w:val="center"/>
      </w:pPr>
    </w:p>
    <w:p w:rsidR="00BB7111" w:rsidRDefault="00BB7111" w:rsidP="00BB7111">
      <w:pPr>
        <w:pStyle w:val="Default"/>
        <w:spacing w:after="60"/>
        <w:jc w:val="center"/>
      </w:pPr>
    </w:p>
    <w:p w:rsidR="00BB7111" w:rsidRDefault="00BB7111" w:rsidP="00BB7111">
      <w:pPr>
        <w:pStyle w:val="Default"/>
        <w:spacing w:after="60"/>
        <w:jc w:val="center"/>
      </w:pPr>
    </w:p>
    <w:p w:rsidR="00BB7111" w:rsidRDefault="00BB7111" w:rsidP="00BB7111">
      <w:pPr>
        <w:pStyle w:val="Default"/>
        <w:spacing w:after="60"/>
        <w:jc w:val="center"/>
      </w:pPr>
    </w:p>
    <w:p w:rsidR="00BB7111" w:rsidRDefault="00BB7111" w:rsidP="00BB7111">
      <w:pPr>
        <w:pStyle w:val="Default"/>
        <w:spacing w:after="60"/>
        <w:jc w:val="center"/>
      </w:pPr>
    </w:p>
    <w:p w:rsidR="00BB7111" w:rsidRDefault="00BB7111" w:rsidP="00BB7111">
      <w:pPr>
        <w:pStyle w:val="Default"/>
        <w:spacing w:after="60"/>
        <w:jc w:val="center"/>
      </w:pPr>
    </w:p>
    <w:p w:rsidR="00BB7111" w:rsidRPr="002909F7" w:rsidRDefault="00BB7111" w:rsidP="00BB7111">
      <w:pPr>
        <w:pStyle w:val="Default"/>
        <w:spacing w:after="60"/>
        <w:jc w:val="center"/>
        <w:rPr>
          <w:color w:val="4472C4" w:themeColor="accent1"/>
          <w:sz w:val="40"/>
          <w:szCs w:val="40"/>
        </w:rPr>
      </w:pPr>
    </w:p>
    <w:p w:rsidR="00BB7111" w:rsidRPr="002909F7" w:rsidRDefault="00BB7111" w:rsidP="00BB7111">
      <w:pPr>
        <w:pStyle w:val="Default"/>
        <w:spacing w:after="60"/>
        <w:jc w:val="center"/>
        <w:rPr>
          <w:color w:val="4472C4" w:themeColor="accent1"/>
          <w:sz w:val="40"/>
          <w:szCs w:val="40"/>
        </w:rPr>
      </w:pPr>
      <w:r>
        <w:rPr>
          <w:b/>
          <w:bCs/>
          <w:color w:val="4472C4" w:themeColor="accent1"/>
          <w:sz w:val="40"/>
          <w:szCs w:val="40"/>
        </w:rPr>
        <w:t>“NO PRINCIPAL ADVERSE IMPACTS CONSIDERATION STATEMENT” AND “SUSTAINABILITY RISKS POLICY”</w:t>
      </w:r>
    </w:p>
    <w:p w:rsidR="00BB7111" w:rsidRPr="00097412" w:rsidRDefault="00BB7111" w:rsidP="00BB7111">
      <w:pPr>
        <w:pStyle w:val="Default"/>
        <w:spacing w:after="60"/>
        <w:jc w:val="center"/>
        <w:rPr>
          <w:b/>
          <w:bCs/>
          <w:color w:val="44546A" w:themeColor="text2"/>
          <w:sz w:val="40"/>
          <w:szCs w:val="40"/>
        </w:rPr>
      </w:pPr>
      <w:r w:rsidRPr="00097412">
        <w:rPr>
          <w:b/>
          <w:bCs/>
          <w:color w:val="44546A" w:themeColor="text2"/>
          <w:sz w:val="40"/>
          <w:szCs w:val="40"/>
        </w:rPr>
        <w:t>FUNDROCK MANAGEMENT COMPANY S.A.</w:t>
      </w:r>
    </w:p>
    <w:p w:rsidR="00BB7111" w:rsidRPr="00097412" w:rsidRDefault="00BB7111" w:rsidP="00BB7111">
      <w:pPr>
        <w:pStyle w:val="Default"/>
        <w:spacing w:after="60"/>
        <w:jc w:val="center"/>
        <w:rPr>
          <w:bCs/>
          <w:color w:val="44546A" w:themeColor="text2"/>
          <w:sz w:val="32"/>
          <w:szCs w:val="32"/>
        </w:rPr>
      </w:pPr>
      <w:r>
        <w:rPr>
          <w:bCs/>
          <w:color w:val="44546A" w:themeColor="text2"/>
          <w:sz w:val="32"/>
          <w:szCs w:val="32"/>
        </w:rPr>
        <w:t xml:space="preserve">JANUARY </w:t>
      </w:r>
      <w:r w:rsidRPr="00097412">
        <w:rPr>
          <w:bCs/>
          <w:color w:val="44546A" w:themeColor="text2"/>
          <w:sz w:val="32"/>
          <w:szCs w:val="32"/>
        </w:rPr>
        <w:t xml:space="preserve">2023 </w:t>
      </w:r>
    </w:p>
    <w:p w:rsidR="00BB7111" w:rsidRPr="00BB7111" w:rsidRDefault="00BB7111" w:rsidP="00BB7111">
      <w:pPr>
        <w:rPr>
          <w:rFonts w:cs="Calibri"/>
          <w:b/>
          <w:bCs/>
          <w:color w:val="000000"/>
          <w:szCs w:val="20"/>
        </w:rPr>
      </w:pPr>
      <w:r>
        <w:rPr>
          <w:b/>
          <w:bCs/>
          <w:szCs w:val="20"/>
        </w:rPr>
        <w:br w:type="page"/>
      </w:r>
      <w:bookmarkStart w:id="0" w:name="_GoBack"/>
      <w:bookmarkEnd w:id="0"/>
    </w:p>
    <w:p w:rsidR="00BB7111" w:rsidRPr="00112D9A" w:rsidRDefault="00BB7111" w:rsidP="00BB7111">
      <w:pPr>
        <w:shd w:val="clear" w:color="auto" w:fill="FFFFFF"/>
        <w:spacing w:after="100" w:afterAutospacing="1"/>
        <w:rPr>
          <w:rFonts w:ascii="Open Sans" w:eastAsia="Times New Roman" w:hAnsi="Open Sans" w:cs="Open Sans"/>
          <w:color w:val="212529"/>
          <w:sz w:val="24"/>
          <w:szCs w:val="24"/>
          <w:lang w:eastAsia="en-GB"/>
        </w:rPr>
      </w:pPr>
      <w:r>
        <w:rPr>
          <w:rFonts w:ascii="Open Sans" w:eastAsia="Times New Roman" w:hAnsi="Open Sans" w:cs="Open Sans"/>
          <w:b/>
          <w:bCs/>
          <w:color w:val="212529"/>
          <w:sz w:val="24"/>
          <w:szCs w:val="24"/>
          <w:lang w:eastAsia="en-GB"/>
        </w:rPr>
        <w:lastRenderedPageBreak/>
        <w:t>I</w:t>
      </w:r>
      <w:r w:rsidRPr="00112D9A">
        <w:rPr>
          <w:rFonts w:ascii="Open Sans" w:eastAsia="Times New Roman" w:hAnsi="Open Sans" w:cs="Open Sans"/>
          <w:b/>
          <w:bCs/>
          <w:color w:val="212529"/>
          <w:sz w:val="24"/>
          <w:szCs w:val="24"/>
          <w:lang w:eastAsia="en-GB"/>
        </w:rPr>
        <w:t>ntroduction</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FundRock Management Company </w:t>
      </w:r>
      <w:r>
        <w:rPr>
          <w:rFonts w:ascii="Open Sans" w:eastAsia="Times New Roman" w:hAnsi="Open Sans" w:cs="Open Sans"/>
          <w:color w:val="212529"/>
          <w:sz w:val="24"/>
          <w:szCs w:val="24"/>
          <w:lang w:eastAsia="en-GB"/>
        </w:rPr>
        <w:t xml:space="preserve">S.A. </w:t>
      </w:r>
      <w:r w:rsidRPr="00112D9A">
        <w:rPr>
          <w:rFonts w:ascii="Open Sans" w:eastAsia="Times New Roman" w:hAnsi="Open Sans" w:cs="Open Sans"/>
          <w:color w:val="212529"/>
          <w:sz w:val="24"/>
          <w:szCs w:val="24"/>
          <w:lang w:eastAsia="en-GB"/>
        </w:rPr>
        <w:t>(</w:t>
      </w:r>
      <w:r>
        <w:rPr>
          <w:rFonts w:ascii="Open Sans" w:eastAsia="Times New Roman" w:hAnsi="Open Sans" w:cs="Open Sans"/>
          <w:color w:val="212529"/>
          <w:sz w:val="24"/>
          <w:szCs w:val="24"/>
          <w:lang w:eastAsia="en-GB"/>
        </w:rPr>
        <w:t>“</w:t>
      </w:r>
      <w:r w:rsidRPr="00112D9A">
        <w:rPr>
          <w:rFonts w:ascii="Open Sans" w:eastAsia="Times New Roman" w:hAnsi="Open Sans" w:cs="Open Sans"/>
          <w:color w:val="212529"/>
          <w:sz w:val="24"/>
          <w:szCs w:val="24"/>
          <w:lang w:eastAsia="en-GB"/>
        </w:rPr>
        <w:t>FRMC</w:t>
      </w:r>
      <w:r>
        <w:rPr>
          <w:rFonts w:ascii="Open Sans" w:eastAsia="Times New Roman" w:hAnsi="Open Sans" w:cs="Open Sans"/>
          <w:color w:val="212529"/>
          <w:sz w:val="24"/>
          <w:szCs w:val="24"/>
          <w:lang w:eastAsia="en-GB"/>
        </w:rPr>
        <w:t>”</w:t>
      </w:r>
      <w:r w:rsidRPr="00112D9A">
        <w:rPr>
          <w:rFonts w:ascii="Open Sans" w:eastAsia="Times New Roman" w:hAnsi="Open Sans" w:cs="Open Sans"/>
          <w:color w:val="212529"/>
          <w:sz w:val="24"/>
          <w:szCs w:val="24"/>
          <w:lang w:eastAsia="en-GB"/>
        </w:rPr>
        <w:t xml:space="preserve">) is authorised by the </w:t>
      </w:r>
      <w:r w:rsidRPr="00A75A43">
        <w:rPr>
          <w:rFonts w:ascii="Open Sans" w:eastAsia="Times New Roman" w:hAnsi="Open Sans" w:cs="Open Sans"/>
          <w:i/>
          <w:color w:val="212529"/>
          <w:sz w:val="24"/>
          <w:szCs w:val="24"/>
          <w:lang w:eastAsia="en-GB"/>
        </w:rPr>
        <w:t>Commission de Surveillance du Secteur Financier</w:t>
      </w:r>
      <w:r w:rsidRPr="00112D9A">
        <w:rPr>
          <w:rFonts w:ascii="Open Sans" w:eastAsia="Times New Roman" w:hAnsi="Open Sans" w:cs="Open Sans"/>
          <w:color w:val="212529"/>
          <w:sz w:val="24"/>
          <w:szCs w:val="24"/>
          <w:lang w:eastAsia="en-GB"/>
        </w:rPr>
        <w:t xml:space="preserve"> to provide UCITS Management Company/AIFM</w:t>
      </w:r>
      <w:r>
        <w:rPr>
          <w:rFonts w:ascii="Open Sans" w:eastAsia="Times New Roman" w:hAnsi="Open Sans" w:cs="Open Sans"/>
          <w:color w:val="212529"/>
          <w:sz w:val="24"/>
          <w:szCs w:val="24"/>
          <w:lang w:eastAsia="en-GB"/>
        </w:rPr>
        <w:t xml:space="preserve"> (Alternative Investment Fund Manager)</w:t>
      </w:r>
      <w:r w:rsidRPr="00112D9A">
        <w:rPr>
          <w:rFonts w:ascii="Open Sans" w:eastAsia="Times New Roman" w:hAnsi="Open Sans" w:cs="Open Sans"/>
          <w:color w:val="212529"/>
          <w:sz w:val="24"/>
          <w:szCs w:val="24"/>
          <w:lang w:eastAsia="en-GB"/>
        </w:rPr>
        <w:t xml:space="preserve"> services to a range of collective investment schemes domiciled in, but not limited, to Luxembourg, Ireland and France.</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As per Regulation (EU) 2019/2088 (“SFDR”), FRMC is defined as a “financial market participant”.</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Per </w:t>
      </w:r>
      <w:r>
        <w:rPr>
          <w:rFonts w:ascii="Open Sans" w:eastAsia="Times New Roman" w:hAnsi="Open Sans" w:cs="Open Sans"/>
          <w:color w:val="212529"/>
          <w:sz w:val="24"/>
          <w:szCs w:val="24"/>
          <w:lang w:eastAsia="en-GB"/>
        </w:rPr>
        <w:t>A</w:t>
      </w:r>
      <w:r w:rsidRPr="00112D9A">
        <w:rPr>
          <w:rFonts w:ascii="Open Sans" w:eastAsia="Times New Roman" w:hAnsi="Open Sans" w:cs="Open Sans"/>
          <w:color w:val="212529"/>
          <w:sz w:val="24"/>
          <w:szCs w:val="24"/>
          <w:lang w:eastAsia="en-GB"/>
        </w:rPr>
        <w:t>rticle 3 of SFDR</w:t>
      </w:r>
      <w:r>
        <w:rPr>
          <w:rFonts w:ascii="Open Sans" w:eastAsia="Times New Roman" w:hAnsi="Open Sans" w:cs="Open Sans"/>
          <w:color w:val="212529"/>
          <w:sz w:val="24"/>
          <w:szCs w:val="24"/>
          <w:lang w:eastAsia="en-GB"/>
        </w:rPr>
        <w:t>, “</w:t>
      </w:r>
      <w:r w:rsidRPr="00112D9A">
        <w:rPr>
          <w:rFonts w:ascii="Open Sans" w:eastAsia="Times New Roman" w:hAnsi="Open Sans" w:cs="Open Sans"/>
          <w:color w:val="212529"/>
          <w:sz w:val="24"/>
          <w:szCs w:val="24"/>
          <w:lang w:eastAsia="en-GB"/>
        </w:rPr>
        <w:t>financial market participant</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shall publish information about their policies on the integration of sustainability risks in their investment decision-making process. “Sustainability risk” means an environmental, social or governance event or condition that, if it occurs, could cause an actual or a potential material negative impact on the value of an investment.</w:t>
      </w:r>
    </w:p>
    <w:p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Further, per Article 4 of SFDR a “financial market participant”, where the principal adverse impacts (“PAI”) of investment decisions are considered, is required to publish and maintain on its website a “statement on due diligence policies with respect to those impacts, taking due account of their size, the nature and scale of their activities and the types of financial products they make available”. </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This </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tatement has been developed in accordance with the provisions of Article 4</w:t>
      </w:r>
      <w:r>
        <w:rPr>
          <w:rFonts w:ascii="Open Sans" w:eastAsia="Times New Roman" w:hAnsi="Open Sans" w:cs="Open Sans"/>
          <w:color w:val="212529"/>
          <w:sz w:val="24"/>
          <w:szCs w:val="24"/>
          <w:lang w:eastAsia="en-GB"/>
        </w:rPr>
        <w:t xml:space="preserve"> and Article 12 of the Delegated Regulation (EU) 2022/1288</w:t>
      </w:r>
      <w:r w:rsidRPr="00112D9A">
        <w:rPr>
          <w:rFonts w:ascii="Open Sans" w:eastAsia="Times New Roman" w:hAnsi="Open Sans" w:cs="Open Sans"/>
          <w:color w:val="212529"/>
          <w:sz w:val="24"/>
          <w:szCs w:val="24"/>
          <w:lang w:eastAsia="en-GB"/>
        </w:rPr>
        <w:t>, while also taking into consideration Article 7 of SFDR on the transparency of PAI at product level.</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This is detailed in the</w:t>
      </w:r>
      <w:r>
        <w:rPr>
          <w:rFonts w:ascii="Open Sans" w:eastAsia="Times New Roman" w:hAnsi="Open Sans" w:cs="Open Sans"/>
          <w:color w:val="212529"/>
          <w:sz w:val="24"/>
          <w:szCs w:val="24"/>
          <w:lang w:eastAsia="en-GB"/>
        </w:rPr>
        <w:t xml:space="preserve"> pre-contractual disclosures in </w:t>
      </w:r>
      <w:r w:rsidRPr="00112D9A">
        <w:rPr>
          <w:rFonts w:ascii="Open Sans" w:eastAsia="Times New Roman" w:hAnsi="Open Sans" w:cs="Open Sans"/>
          <w:color w:val="212529"/>
          <w:sz w:val="24"/>
          <w:szCs w:val="24"/>
          <w:lang w:eastAsia="en-GB"/>
        </w:rPr>
        <w:t xml:space="preserve">accordance with </w:t>
      </w:r>
      <w:r>
        <w:rPr>
          <w:rFonts w:ascii="Open Sans" w:eastAsia="Times New Roman" w:hAnsi="Open Sans" w:cs="Open Sans"/>
          <w:color w:val="212529"/>
          <w:sz w:val="24"/>
          <w:szCs w:val="24"/>
          <w:lang w:eastAsia="en-GB"/>
        </w:rPr>
        <w:t>A</w:t>
      </w:r>
      <w:r w:rsidRPr="00112D9A">
        <w:rPr>
          <w:rFonts w:ascii="Open Sans" w:eastAsia="Times New Roman" w:hAnsi="Open Sans" w:cs="Open Sans"/>
          <w:color w:val="212529"/>
          <w:sz w:val="24"/>
          <w:szCs w:val="24"/>
          <w:lang w:eastAsia="en-GB"/>
        </w:rPr>
        <w:t>rticle 6 of SFDR.</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Further, the Funds</w:t>
      </w:r>
      <w:r>
        <w:rPr>
          <w:rFonts w:ascii="Open Sans" w:eastAsia="Times New Roman" w:hAnsi="Open Sans" w:cs="Open Sans"/>
          <w:color w:val="212529"/>
          <w:sz w:val="24"/>
          <w:szCs w:val="24"/>
          <w:lang w:eastAsia="en-GB"/>
        </w:rPr>
        <w:t xml:space="preserve"> for</w:t>
      </w:r>
      <w:r w:rsidRPr="00112D9A">
        <w:rPr>
          <w:rFonts w:ascii="Open Sans" w:eastAsia="Times New Roman" w:hAnsi="Open Sans" w:cs="Open Sans"/>
          <w:color w:val="212529"/>
          <w:sz w:val="24"/>
          <w:szCs w:val="24"/>
          <w:lang w:eastAsia="en-GB"/>
        </w:rPr>
        <w:t xml:space="preserve"> which FRMC act</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as UCITS Management Company/AIFM, follow a number of different investment strategies with varying consideration</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of environmental, social and governance (ESG) and sustainability factors. </w:t>
      </w:r>
    </w:p>
    <w:p w:rsidR="00BB7111" w:rsidRPr="00BB7111" w:rsidRDefault="00BB7111" w:rsidP="00BB7111">
      <w:pPr>
        <w:shd w:val="clear" w:color="auto" w:fill="FFFFFF"/>
        <w:spacing w:after="100" w:afterAutospacing="1"/>
        <w:jc w:val="both"/>
        <w:rPr>
          <w:rFonts w:ascii="Open Sans" w:eastAsia="Times New Roman" w:hAnsi="Open Sans" w:cs="Open Sans"/>
          <w:b/>
          <w:color w:val="ED7D31" w:themeColor="accent2"/>
          <w:sz w:val="24"/>
          <w:szCs w:val="24"/>
          <w:lang w:eastAsia="en-GB"/>
        </w:rPr>
      </w:pPr>
      <w:r w:rsidRPr="00BB7111">
        <w:rPr>
          <w:rFonts w:ascii="Open Sans" w:eastAsia="Times New Roman" w:hAnsi="Open Sans" w:cs="Open Sans"/>
          <w:b/>
          <w:i/>
          <w:iCs/>
          <w:color w:val="ED7D31" w:themeColor="accent2"/>
          <w:sz w:val="24"/>
          <w:szCs w:val="24"/>
          <w:u w:val="single"/>
          <w:lang w:eastAsia="en-GB"/>
        </w:rPr>
        <w:t>Article 3 – Sustainability Risks</w:t>
      </w:r>
    </w:p>
    <w:p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lastRenderedPageBreak/>
        <w:t xml:space="preserve">In accordance with the Commission Delegated Regulation (EU) 2021/1255 </w:t>
      </w:r>
      <w:r>
        <w:rPr>
          <w:rFonts w:ascii="Open Sans" w:eastAsia="Times New Roman" w:hAnsi="Open Sans" w:cs="Open Sans"/>
          <w:color w:val="212529"/>
          <w:sz w:val="24"/>
          <w:szCs w:val="24"/>
          <w:lang w:eastAsia="en-GB"/>
        </w:rPr>
        <w:t>and Commission Delegated Directive (EU) 2021/1270 of 21 April 2021</w:t>
      </w:r>
      <w:r w:rsidRPr="00112D9A">
        <w:rPr>
          <w:rFonts w:ascii="Open Sans" w:eastAsia="Times New Roman" w:hAnsi="Open Sans" w:cs="Open Sans"/>
          <w:color w:val="212529"/>
          <w:sz w:val="24"/>
          <w:szCs w:val="24"/>
          <w:lang w:eastAsia="en-GB"/>
        </w:rPr>
        <w:t>, F</w:t>
      </w:r>
      <w:r>
        <w:rPr>
          <w:rFonts w:ascii="Open Sans" w:eastAsia="Times New Roman" w:hAnsi="Open Sans" w:cs="Open Sans"/>
          <w:color w:val="212529"/>
          <w:sz w:val="24"/>
          <w:szCs w:val="24"/>
          <w:lang w:eastAsia="en-GB"/>
        </w:rPr>
        <w:t>RMC</w:t>
      </w:r>
      <w:r w:rsidRPr="00112D9A">
        <w:rPr>
          <w:rFonts w:ascii="Open Sans" w:eastAsia="Times New Roman" w:hAnsi="Open Sans" w:cs="Open Sans"/>
          <w:color w:val="212529"/>
          <w:sz w:val="24"/>
          <w:szCs w:val="24"/>
          <w:lang w:eastAsia="en-GB"/>
        </w:rPr>
        <w:t xml:space="preserve"> takes into account  sustainability risks in the investment decision</w:t>
      </w:r>
      <w:r>
        <w:rPr>
          <w:rFonts w:ascii="Open Sans" w:eastAsia="Times New Roman" w:hAnsi="Open Sans" w:cs="Open Sans"/>
          <w:color w:val="212529"/>
          <w:sz w:val="24"/>
          <w:szCs w:val="24"/>
          <w:lang w:eastAsia="en-GB"/>
        </w:rPr>
        <w:t>-making process</w:t>
      </w:r>
      <w:r w:rsidRPr="00112D9A">
        <w:rPr>
          <w:rFonts w:ascii="Open Sans" w:eastAsia="Times New Roman" w:hAnsi="Open Sans" w:cs="Open Sans"/>
          <w:color w:val="212529"/>
          <w:sz w:val="24"/>
          <w:szCs w:val="24"/>
          <w:lang w:eastAsia="en-GB"/>
        </w:rPr>
        <w:t xml:space="preserve">. </w:t>
      </w:r>
    </w:p>
    <w:p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Pr>
          <w:rFonts w:ascii="Open Sans" w:eastAsia="Times New Roman" w:hAnsi="Open Sans" w:cs="Open Sans"/>
          <w:color w:val="212529"/>
          <w:sz w:val="24"/>
          <w:szCs w:val="24"/>
          <w:lang w:eastAsia="en-GB"/>
        </w:rPr>
        <w:t>The impact of sustainability risk events will vary depending on industries or services, regions, and types of assets. Specific sectors might be more impacted than others. Sustainability risks are integrated into the investment decision-making process by FRMC or the delegated portfolio managers under FRMC’s monitoring.</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FRMC ensure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as part of its due diligence process and ongoing oversight</w:t>
      </w:r>
      <w:r>
        <w:rPr>
          <w:rFonts w:ascii="Open Sans" w:eastAsia="Times New Roman" w:hAnsi="Open Sans" w:cs="Open Sans"/>
          <w:color w:val="212529"/>
          <w:sz w:val="24"/>
          <w:szCs w:val="24"/>
          <w:lang w:eastAsia="en-GB"/>
        </w:rPr>
        <w:t xml:space="preserve"> on its delegates</w:t>
      </w:r>
      <w:r w:rsidRPr="00112D9A">
        <w:rPr>
          <w:rFonts w:ascii="Open Sans" w:eastAsia="Times New Roman" w:hAnsi="Open Sans" w:cs="Open Sans"/>
          <w:color w:val="212529"/>
          <w:sz w:val="24"/>
          <w:szCs w:val="24"/>
          <w:lang w:eastAsia="en-GB"/>
        </w:rPr>
        <w:t xml:space="preserve"> that :</w:t>
      </w:r>
    </w:p>
    <w:p w:rsidR="00BB7111" w:rsidRPr="00112D9A" w:rsidRDefault="00BB7111" w:rsidP="00BB7111">
      <w:pPr>
        <w:numPr>
          <w:ilvl w:val="0"/>
          <w:numId w:val="2"/>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Sustainability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 xml:space="preserve">isks </w:t>
      </w:r>
      <w:r>
        <w:rPr>
          <w:rFonts w:ascii="Open Sans" w:eastAsia="Times New Roman" w:hAnsi="Open Sans" w:cs="Open Sans"/>
          <w:color w:val="212529"/>
          <w:sz w:val="24"/>
          <w:szCs w:val="24"/>
          <w:lang w:eastAsia="en-GB"/>
        </w:rPr>
        <w:t>are</w:t>
      </w:r>
      <w:r w:rsidRPr="00112D9A">
        <w:rPr>
          <w:rFonts w:ascii="Open Sans" w:eastAsia="Times New Roman" w:hAnsi="Open Sans" w:cs="Open Sans"/>
          <w:color w:val="212529"/>
          <w:sz w:val="24"/>
          <w:szCs w:val="24"/>
          <w:lang w:eastAsia="en-GB"/>
        </w:rPr>
        <w:t xml:space="preserve"> part of the Fund’s investment process;</w:t>
      </w:r>
    </w:p>
    <w:p w:rsidR="00BB7111" w:rsidRPr="00112D9A" w:rsidRDefault="00BB7111" w:rsidP="00BB7111">
      <w:pPr>
        <w:numPr>
          <w:ilvl w:val="0"/>
          <w:numId w:val="2"/>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Sustainability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 xml:space="preserve">isks </w:t>
      </w:r>
      <w:r>
        <w:rPr>
          <w:rFonts w:ascii="Open Sans" w:eastAsia="Times New Roman" w:hAnsi="Open Sans" w:cs="Open Sans"/>
          <w:color w:val="212529"/>
          <w:sz w:val="24"/>
          <w:szCs w:val="24"/>
          <w:lang w:eastAsia="en-GB"/>
        </w:rPr>
        <w:t>are</w:t>
      </w:r>
      <w:r w:rsidRPr="00112D9A">
        <w:rPr>
          <w:rFonts w:ascii="Open Sans" w:eastAsia="Times New Roman" w:hAnsi="Open Sans" w:cs="Open Sans"/>
          <w:color w:val="212529"/>
          <w:sz w:val="24"/>
          <w:szCs w:val="24"/>
          <w:lang w:eastAsia="en-GB"/>
        </w:rPr>
        <w:t xml:space="preserve"> considered as part of a broader analysis of individual issuers, using internal and external inputs </w:t>
      </w:r>
      <w:r>
        <w:rPr>
          <w:rFonts w:ascii="Open Sans" w:eastAsia="Times New Roman" w:hAnsi="Open Sans" w:cs="Open Sans"/>
          <w:color w:val="212529"/>
          <w:sz w:val="24"/>
          <w:szCs w:val="24"/>
          <w:lang w:eastAsia="en-GB"/>
        </w:rPr>
        <w:t xml:space="preserve">in order </w:t>
      </w:r>
      <w:r w:rsidRPr="00112D9A">
        <w:rPr>
          <w:rFonts w:ascii="Open Sans" w:eastAsia="Times New Roman" w:hAnsi="Open Sans" w:cs="Open Sans"/>
          <w:color w:val="212529"/>
          <w:sz w:val="24"/>
          <w:szCs w:val="24"/>
          <w:lang w:eastAsia="en-GB"/>
        </w:rPr>
        <w:t xml:space="preserve">to identify exposure to Sustainability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isks, preparing for company engagement</w:t>
      </w:r>
      <w:r>
        <w:rPr>
          <w:rFonts w:ascii="Open Sans" w:eastAsia="Times New Roman" w:hAnsi="Open Sans" w:cs="Open Sans"/>
          <w:color w:val="212529"/>
          <w:sz w:val="24"/>
          <w:szCs w:val="24"/>
          <w:lang w:eastAsia="en-GB"/>
        </w:rPr>
        <w:t xml:space="preserve">, </w:t>
      </w:r>
      <w:r w:rsidRPr="00112D9A">
        <w:rPr>
          <w:rFonts w:ascii="Open Sans" w:eastAsia="Times New Roman" w:hAnsi="Open Sans" w:cs="Open Sans"/>
          <w:color w:val="212529"/>
          <w:sz w:val="24"/>
          <w:szCs w:val="24"/>
          <w:lang w:eastAsia="en-GB"/>
        </w:rPr>
        <w:t>and collaborat</w:t>
      </w:r>
      <w:r>
        <w:rPr>
          <w:rFonts w:ascii="Open Sans" w:eastAsia="Times New Roman" w:hAnsi="Open Sans" w:cs="Open Sans"/>
          <w:color w:val="212529"/>
          <w:sz w:val="24"/>
          <w:szCs w:val="24"/>
          <w:lang w:eastAsia="en-GB"/>
        </w:rPr>
        <w:t>ing</w:t>
      </w:r>
      <w:r w:rsidRPr="00112D9A">
        <w:rPr>
          <w:rFonts w:ascii="Open Sans" w:eastAsia="Times New Roman" w:hAnsi="Open Sans" w:cs="Open Sans"/>
          <w:color w:val="212529"/>
          <w:sz w:val="24"/>
          <w:szCs w:val="24"/>
          <w:lang w:eastAsia="en-GB"/>
        </w:rPr>
        <w:t xml:space="preserve"> on new research inputs based on data provided by data providers. The factors which will be considered by the Portfolio Manager will depend on the security in question, but typically include ownership structure, board structure and membership, capital allocation track record, management incentives, labour relations history, and climate risks.</w:t>
      </w:r>
    </w:p>
    <w:p w:rsidR="00BB7111" w:rsidRPr="00112D9A" w:rsidRDefault="00BB7111" w:rsidP="00BB7111">
      <w:pPr>
        <w:numPr>
          <w:ilvl w:val="0"/>
          <w:numId w:val="2"/>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In assessing th</w:t>
      </w:r>
      <w:r>
        <w:rPr>
          <w:rFonts w:ascii="Open Sans" w:eastAsia="Times New Roman" w:hAnsi="Open Sans" w:cs="Open Sans"/>
          <w:color w:val="212529"/>
          <w:sz w:val="24"/>
          <w:szCs w:val="24"/>
          <w:lang w:eastAsia="en-GB"/>
        </w:rPr>
        <w:t>o</w:t>
      </w:r>
      <w:r w:rsidRPr="00112D9A">
        <w:rPr>
          <w:rFonts w:ascii="Open Sans" w:eastAsia="Times New Roman" w:hAnsi="Open Sans" w:cs="Open Sans"/>
          <w:color w:val="212529"/>
          <w:sz w:val="24"/>
          <w:szCs w:val="24"/>
          <w:lang w:eastAsia="en-GB"/>
        </w:rPr>
        <w:t>se risks, the Portfolio Manager draws upon a wide variety of internal and external research to assess any potential</w:t>
      </w:r>
      <w:r>
        <w:rPr>
          <w:rFonts w:ascii="Open Sans" w:eastAsia="Times New Roman" w:hAnsi="Open Sans" w:cs="Open Sans"/>
          <w:color w:val="212529"/>
          <w:sz w:val="24"/>
          <w:szCs w:val="24"/>
          <w:lang w:eastAsia="en-GB"/>
        </w:rPr>
        <w:t xml:space="preserve"> </w:t>
      </w:r>
      <w:r w:rsidRPr="00112D9A">
        <w:rPr>
          <w:rFonts w:ascii="Open Sans" w:eastAsia="Times New Roman" w:hAnsi="Open Sans" w:cs="Open Sans"/>
          <w:color w:val="212529"/>
          <w:sz w:val="24"/>
          <w:szCs w:val="24"/>
          <w:lang w:eastAsia="en-GB"/>
        </w:rPr>
        <w:t>impact on the value of the assets over the time horizon of the Fund.</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In instances where FRMC retains portfolio management and where a</w:t>
      </w:r>
      <w:r>
        <w:rPr>
          <w:rFonts w:ascii="Open Sans" w:eastAsia="Times New Roman" w:hAnsi="Open Sans" w:cs="Open Sans"/>
          <w:color w:val="212529"/>
          <w:sz w:val="24"/>
          <w:szCs w:val="24"/>
          <w:lang w:eastAsia="en-GB"/>
        </w:rPr>
        <w:t>n</w:t>
      </w:r>
      <w:r w:rsidRPr="00112D9A">
        <w:rPr>
          <w:rFonts w:ascii="Open Sans" w:eastAsia="Times New Roman" w:hAnsi="Open Sans" w:cs="Open Sans"/>
          <w:color w:val="212529"/>
          <w:sz w:val="24"/>
          <w:szCs w:val="24"/>
          <w:lang w:eastAsia="en-GB"/>
        </w:rPr>
        <w:t xml:space="preserve"> </w:t>
      </w:r>
      <w:r>
        <w:rPr>
          <w:rFonts w:ascii="Open Sans" w:eastAsia="Times New Roman" w:hAnsi="Open Sans" w:cs="Open Sans"/>
          <w:color w:val="212529"/>
          <w:sz w:val="24"/>
          <w:szCs w:val="24"/>
          <w:lang w:eastAsia="en-GB"/>
        </w:rPr>
        <w:t>Investment</w:t>
      </w:r>
      <w:r w:rsidRPr="00112D9A">
        <w:rPr>
          <w:rFonts w:ascii="Open Sans" w:eastAsia="Times New Roman" w:hAnsi="Open Sans" w:cs="Open Sans"/>
          <w:color w:val="212529"/>
          <w:sz w:val="24"/>
          <w:szCs w:val="24"/>
          <w:lang w:eastAsia="en-GB"/>
        </w:rPr>
        <w:t xml:space="preserve"> Advisor is appointed, FRMC consider</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isks within their investment decision in respect of those funds, provided that the steps described in 1-3 are fulfilled. FRMC also acknowledge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that in certain instances, the </w:t>
      </w:r>
      <w:r>
        <w:rPr>
          <w:rFonts w:ascii="Open Sans" w:eastAsia="Times New Roman" w:hAnsi="Open Sans" w:cs="Open Sans"/>
          <w:color w:val="212529"/>
          <w:sz w:val="24"/>
          <w:szCs w:val="24"/>
          <w:lang w:eastAsia="en-GB"/>
        </w:rPr>
        <w:t>Investment</w:t>
      </w:r>
      <w:r w:rsidRPr="00112D9A">
        <w:rPr>
          <w:rFonts w:ascii="Open Sans" w:eastAsia="Times New Roman" w:hAnsi="Open Sans" w:cs="Open Sans"/>
          <w:color w:val="212529"/>
          <w:sz w:val="24"/>
          <w:szCs w:val="24"/>
          <w:lang w:eastAsia="en-GB"/>
        </w:rPr>
        <w:t xml:space="preserve"> </w:t>
      </w:r>
      <w:r>
        <w:rPr>
          <w:rFonts w:ascii="Open Sans" w:eastAsia="Times New Roman" w:hAnsi="Open Sans" w:cs="Open Sans"/>
          <w:color w:val="212529"/>
          <w:sz w:val="24"/>
          <w:szCs w:val="24"/>
          <w:lang w:eastAsia="en-GB"/>
        </w:rPr>
        <w:t>A</w:t>
      </w:r>
      <w:r w:rsidRPr="00112D9A">
        <w:rPr>
          <w:rFonts w:ascii="Open Sans" w:eastAsia="Times New Roman" w:hAnsi="Open Sans" w:cs="Open Sans"/>
          <w:color w:val="212529"/>
          <w:sz w:val="24"/>
          <w:szCs w:val="24"/>
          <w:lang w:eastAsia="en-GB"/>
        </w:rPr>
        <w:t>dvisors may publish information on their own website in respect of sustainability risks integration.</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FRMC has also enhanced its existing risk management framework to overs</w:t>
      </w:r>
      <w:r>
        <w:rPr>
          <w:rFonts w:ascii="Open Sans" w:eastAsia="Times New Roman" w:hAnsi="Open Sans" w:cs="Open Sans"/>
          <w:color w:val="212529"/>
          <w:sz w:val="24"/>
          <w:szCs w:val="24"/>
          <w:lang w:eastAsia="en-GB"/>
        </w:rPr>
        <w:t>ee</w:t>
      </w:r>
      <w:r w:rsidRPr="00112D9A">
        <w:rPr>
          <w:rFonts w:ascii="Open Sans" w:eastAsia="Times New Roman" w:hAnsi="Open Sans" w:cs="Open Sans"/>
          <w:color w:val="212529"/>
          <w:sz w:val="24"/>
          <w:szCs w:val="24"/>
          <w:lang w:eastAsia="en-GB"/>
        </w:rPr>
        <w:t xml:space="preserve"> the integration of sustainability risks.  The risk management will </w:t>
      </w:r>
      <w:r w:rsidRPr="00112D9A">
        <w:rPr>
          <w:rFonts w:ascii="Open Sans" w:eastAsia="Times New Roman" w:hAnsi="Open Sans" w:cs="Open Sans"/>
          <w:color w:val="212529"/>
          <w:sz w:val="24"/>
          <w:szCs w:val="24"/>
          <w:lang w:eastAsia="en-GB"/>
        </w:rPr>
        <w:lastRenderedPageBreak/>
        <w:t>oversee the integration of sustainability risks by Portfolio Managers on an ex-post basis</w:t>
      </w:r>
      <w:r>
        <w:rPr>
          <w:rFonts w:ascii="Open Sans" w:eastAsia="Times New Roman" w:hAnsi="Open Sans" w:cs="Open Sans"/>
          <w:color w:val="212529"/>
          <w:sz w:val="24"/>
          <w:szCs w:val="24"/>
          <w:lang w:eastAsia="en-GB"/>
        </w:rPr>
        <w:t xml:space="preserve"> or ex-ante basis when FRMC performs portfolio management</w:t>
      </w:r>
      <w:r w:rsidRPr="00112D9A">
        <w:rPr>
          <w:rFonts w:ascii="Open Sans" w:eastAsia="Times New Roman" w:hAnsi="Open Sans" w:cs="Open Sans"/>
          <w:color w:val="212529"/>
          <w:sz w:val="24"/>
          <w:szCs w:val="24"/>
          <w:lang w:eastAsia="en-GB"/>
        </w:rPr>
        <w:t>.</w:t>
      </w:r>
    </w:p>
    <w:p w:rsidR="00BB7111" w:rsidRPr="00BB7111" w:rsidRDefault="00BB7111" w:rsidP="00BB7111">
      <w:pPr>
        <w:shd w:val="clear" w:color="auto" w:fill="FFFFFF"/>
        <w:spacing w:after="100" w:afterAutospacing="1"/>
        <w:jc w:val="both"/>
        <w:rPr>
          <w:rFonts w:ascii="Open Sans" w:eastAsia="Times New Roman" w:hAnsi="Open Sans" w:cs="Open Sans"/>
          <w:b/>
          <w:i/>
          <w:iCs/>
          <w:color w:val="ED7D31" w:themeColor="accent2"/>
          <w:sz w:val="24"/>
          <w:szCs w:val="24"/>
          <w:u w:val="single"/>
          <w:lang w:eastAsia="en-GB"/>
        </w:rPr>
      </w:pPr>
      <w:r w:rsidRPr="00BB7111">
        <w:rPr>
          <w:rFonts w:ascii="Open Sans" w:eastAsia="Times New Roman" w:hAnsi="Open Sans" w:cs="Open Sans"/>
          <w:b/>
          <w:i/>
          <w:iCs/>
          <w:color w:val="ED7D31" w:themeColor="accent2"/>
          <w:sz w:val="24"/>
          <w:szCs w:val="24"/>
          <w:u w:val="single"/>
          <w:lang w:eastAsia="en-GB"/>
        </w:rPr>
        <w:t>Articles 4 &amp; 7 – Principal Adverse Impact</w:t>
      </w:r>
    </w:p>
    <w:p w:rsidR="00BB7111" w:rsidRDefault="00BB7111" w:rsidP="00BB7111">
      <w:pPr>
        <w:jc w:val="both"/>
        <w:rPr>
          <w:rFonts w:ascii="Open Sans" w:eastAsia="Times New Roman" w:hAnsi="Open Sans" w:cs="Open Sans"/>
          <w:color w:val="212529"/>
          <w:sz w:val="24"/>
          <w:szCs w:val="24"/>
          <w:lang w:eastAsia="en-GB"/>
        </w:rPr>
      </w:pPr>
      <w:r>
        <w:rPr>
          <w:rFonts w:ascii="Open Sans" w:eastAsia="Times New Roman" w:hAnsi="Open Sans" w:cs="Open Sans"/>
          <w:color w:val="212529"/>
          <w:sz w:val="24"/>
          <w:szCs w:val="24"/>
          <w:lang w:eastAsia="en-GB"/>
        </w:rPr>
        <w:t>FRMC including its subsidiaries is below the 500 employees threshold set out in articles 4.3 and 4.4 of SFDR and</w:t>
      </w:r>
      <w:r w:rsidRPr="005E4C71">
        <w:rPr>
          <w:rFonts w:ascii="Open Sans" w:eastAsia="Times New Roman" w:hAnsi="Open Sans" w:cs="Open Sans"/>
          <w:color w:val="212529"/>
          <w:sz w:val="24"/>
          <w:szCs w:val="24"/>
          <w:lang w:eastAsia="en-GB"/>
        </w:rPr>
        <w:t xml:space="preserve"> does not consider Principal adverse impact (PAI) </w:t>
      </w:r>
      <w:r>
        <w:rPr>
          <w:rFonts w:ascii="Open Sans" w:eastAsia="Times New Roman" w:hAnsi="Open Sans" w:cs="Open Sans"/>
          <w:color w:val="212529"/>
          <w:sz w:val="24"/>
          <w:szCs w:val="24"/>
          <w:lang w:eastAsia="en-GB"/>
        </w:rPr>
        <w:t xml:space="preserve">of their investment decisions on sustainability factors </w:t>
      </w:r>
      <w:r w:rsidRPr="005E4C71">
        <w:rPr>
          <w:rFonts w:ascii="Open Sans" w:eastAsia="Times New Roman" w:hAnsi="Open Sans" w:cs="Open Sans"/>
          <w:color w:val="212529"/>
          <w:sz w:val="24"/>
          <w:szCs w:val="24"/>
          <w:lang w:eastAsia="en-GB"/>
        </w:rPr>
        <w:t>at entity level</w:t>
      </w:r>
      <w:r>
        <w:rPr>
          <w:rFonts w:ascii="Open Sans" w:eastAsia="Times New Roman" w:hAnsi="Open Sans" w:cs="Open Sans"/>
          <w:color w:val="212529"/>
          <w:sz w:val="24"/>
          <w:szCs w:val="24"/>
          <w:lang w:eastAsia="en-GB"/>
        </w:rPr>
        <w:t>.</w:t>
      </w:r>
      <w:r w:rsidRPr="005C701F">
        <w:rPr>
          <w:rFonts w:ascii="Open Sans" w:eastAsia="Times New Roman" w:hAnsi="Open Sans" w:cs="Open Sans"/>
          <w:color w:val="212529"/>
          <w:sz w:val="24"/>
          <w:szCs w:val="24"/>
          <w:lang w:eastAsia="en-GB"/>
        </w:rPr>
        <w:t xml:space="preserve"> </w:t>
      </w:r>
    </w:p>
    <w:p w:rsidR="00BB7111" w:rsidRDefault="00BB7111" w:rsidP="00BB7111">
      <w:pPr>
        <w:jc w:val="both"/>
        <w:rPr>
          <w:rFonts w:ascii="Open Sans" w:eastAsia="Times New Roman" w:hAnsi="Open Sans" w:cs="Open Sans"/>
          <w:color w:val="212529"/>
          <w:sz w:val="24"/>
          <w:szCs w:val="24"/>
          <w:lang w:eastAsia="en-GB"/>
        </w:rPr>
      </w:pPr>
    </w:p>
    <w:p w:rsidR="00BB7111" w:rsidRDefault="00BB7111" w:rsidP="00BB7111">
      <w:pPr>
        <w:jc w:val="both"/>
        <w:rPr>
          <w:rFonts w:ascii="Open Sans" w:eastAsia="Times New Roman" w:hAnsi="Open Sans" w:cs="Open Sans"/>
          <w:color w:val="212529"/>
          <w:sz w:val="24"/>
          <w:szCs w:val="24"/>
          <w:lang w:eastAsia="en-GB"/>
        </w:rPr>
      </w:pPr>
      <w:r>
        <w:rPr>
          <w:rFonts w:ascii="Open Sans" w:eastAsia="Times New Roman" w:hAnsi="Open Sans" w:cs="Open Sans"/>
          <w:color w:val="212529"/>
          <w:sz w:val="24"/>
          <w:szCs w:val="24"/>
          <w:lang w:eastAsia="en-GB"/>
        </w:rPr>
        <w:t xml:space="preserve">FRMC acting as Management Company and AIFM of many sponsors </w:t>
      </w:r>
      <w:r w:rsidRPr="005C701F">
        <w:rPr>
          <w:rFonts w:ascii="Open Sans" w:eastAsia="Times New Roman" w:hAnsi="Open Sans" w:cs="Open Sans"/>
          <w:color w:val="212529"/>
          <w:sz w:val="24"/>
          <w:szCs w:val="24"/>
          <w:lang w:eastAsia="en-GB"/>
        </w:rPr>
        <w:t xml:space="preserve">considers that non-financial data is still not available in satisfactory quality and quantity to allow it to adequately assess the potential adverse impact of </w:t>
      </w:r>
      <w:r>
        <w:rPr>
          <w:rFonts w:ascii="Open Sans" w:eastAsia="Times New Roman" w:hAnsi="Open Sans" w:cs="Open Sans"/>
          <w:color w:val="212529"/>
          <w:sz w:val="24"/>
          <w:szCs w:val="24"/>
          <w:lang w:eastAsia="en-GB"/>
        </w:rPr>
        <w:t>all their</w:t>
      </w:r>
      <w:r w:rsidRPr="005C701F">
        <w:rPr>
          <w:rFonts w:ascii="Open Sans" w:eastAsia="Times New Roman" w:hAnsi="Open Sans" w:cs="Open Sans"/>
          <w:color w:val="212529"/>
          <w:sz w:val="24"/>
          <w:szCs w:val="24"/>
          <w:lang w:eastAsia="en-GB"/>
        </w:rPr>
        <w:t xml:space="preserve"> investment decision</w:t>
      </w:r>
      <w:r>
        <w:rPr>
          <w:rFonts w:ascii="Open Sans" w:eastAsia="Times New Roman" w:hAnsi="Open Sans" w:cs="Open Sans"/>
          <w:color w:val="212529"/>
          <w:sz w:val="24"/>
          <w:szCs w:val="24"/>
          <w:lang w:eastAsia="en-GB"/>
        </w:rPr>
        <w:t>s</w:t>
      </w:r>
      <w:r w:rsidRPr="005C701F">
        <w:rPr>
          <w:rFonts w:ascii="Open Sans" w:eastAsia="Times New Roman" w:hAnsi="Open Sans" w:cs="Open Sans"/>
          <w:color w:val="212529"/>
          <w:sz w:val="24"/>
          <w:szCs w:val="24"/>
          <w:lang w:eastAsia="en-GB"/>
        </w:rPr>
        <w:t xml:space="preserve"> on sustainability factors</w:t>
      </w:r>
      <w:r>
        <w:rPr>
          <w:rFonts w:ascii="Open Sans" w:eastAsia="Times New Roman" w:hAnsi="Open Sans" w:cs="Open Sans"/>
          <w:color w:val="212529"/>
          <w:sz w:val="24"/>
          <w:szCs w:val="24"/>
          <w:lang w:eastAsia="en-GB"/>
        </w:rPr>
        <w:t xml:space="preserve"> in particular for unlisted assets</w:t>
      </w:r>
      <w:r w:rsidRPr="005C701F">
        <w:rPr>
          <w:rFonts w:ascii="Open Sans" w:eastAsia="Times New Roman" w:hAnsi="Open Sans" w:cs="Open Sans"/>
          <w:color w:val="212529"/>
          <w:sz w:val="24"/>
          <w:szCs w:val="24"/>
          <w:lang w:eastAsia="en-GB"/>
        </w:rPr>
        <w:t>.</w:t>
      </w:r>
    </w:p>
    <w:p w:rsidR="00BB7111" w:rsidRDefault="00BB7111" w:rsidP="00BB7111">
      <w:pPr>
        <w:jc w:val="both"/>
        <w:rPr>
          <w:rFonts w:ascii="Open Sans" w:eastAsia="Times New Roman" w:hAnsi="Open Sans" w:cs="Open Sans"/>
          <w:color w:val="212529"/>
          <w:sz w:val="24"/>
          <w:szCs w:val="24"/>
          <w:lang w:eastAsia="en-GB"/>
        </w:rPr>
      </w:pPr>
    </w:p>
    <w:p w:rsidR="00BB7111" w:rsidRDefault="00BB7111" w:rsidP="00BB7111">
      <w:pPr>
        <w:jc w:val="both"/>
        <w:rPr>
          <w:rFonts w:ascii="Open Sans" w:eastAsia="Times New Roman" w:hAnsi="Open Sans" w:cs="Open Sans"/>
          <w:color w:val="212529"/>
          <w:sz w:val="24"/>
          <w:szCs w:val="24"/>
          <w:lang w:eastAsia="en-GB"/>
        </w:rPr>
      </w:pPr>
      <w:r w:rsidRPr="00097412">
        <w:rPr>
          <w:rFonts w:ascii="Open Sans" w:eastAsia="Times New Roman" w:hAnsi="Open Sans" w:cs="Open Sans"/>
          <w:color w:val="212529"/>
          <w:sz w:val="24"/>
          <w:szCs w:val="24"/>
          <w:lang w:eastAsia="en-GB"/>
        </w:rPr>
        <w:t xml:space="preserve">However, as Funds, </w:t>
      </w:r>
      <w:r>
        <w:rPr>
          <w:rFonts w:ascii="Open Sans" w:eastAsia="Times New Roman" w:hAnsi="Open Sans" w:cs="Open Sans"/>
          <w:color w:val="212529"/>
          <w:sz w:val="24"/>
          <w:szCs w:val="24"/>
          <w:lang w:eastAsia="en-GB"/>
        </w:rPr>
        <w:t>for</w:t>
      </w:r>
      <w:r w:rsidRPr="00097412">
        <w:rPr>
          <w:rFonts w:ascii="Open Sans" w:eastAsia="Times New Roman" w:hAnsi="Open Sans" w:cs="Open Sans"/>
          <w:color w:val="212529"/>
          <w:sz w:val="24"/>
          <w:szCs w:val="24"/>
          <w:lang w:eastAsia="en-GB"/>
        </w:rPr>
        <w:t xml:space="preserve"> which F</w:t>
      </w:r>
      <w:r>
        <w:rPr>
          <w:rFonts w:ascii="Open Sans" w:eastAsia="Times New Roman" w:hAnsi="Open Sans" w:cs="Open Sans"/>
          <w:color w:val="212529"/>
          <w:sz w:val="24"/>
          <w:szCs w:val="24"/>
          <w:lang w:eastAsia="en-GB"/>
        </w:rPr>
        <w:t>RMC</w:t>
      </w:r>
      <w:r w:rsidRPr="00097412">
        <w:rPr>
          <w:rFonts w:ascii="Open Sans" w:eastAsia="Times New Roman" w:hAnsi="Open Sans" w:cs="Open Sans"/>
          <w:color w:val="212529"/>
          <w:sz w:val="24"/>
          <w:szCs w:val="24"/>
          <w:lang w:eastAsia="en-GB"/>
        </w:rPr>
        <w:t xml:space="preserve"> act as </w:t>
      </w:r>
      <w:r>
        <w:rPr>
          <w:rFonts w:ascii="Open Sans" w:eastAsia="Times New Roman" w:hAnsi="Open Sans" w:cs="Open Sans"/>
          <w:color w:val="212529"/>
          <w:sz w:val="24"/>
          <w:szCs w:val="24"/>
          <w:lang w:eastAsia="en-GB"/>
        </w:rPr>
        <w:t xml:space="preserve">UCITS Management Company or </w:t>
      </w:r>
      <w:r w:rsidRPr="00097412">
        <w:rPr>
          <w:rFonts w:ascii="Open Sans" w:eastAsia="Times New Roman" w:hAnsi="Open Sans" w:cs="Open Sans"/>
          <w:color w:val="212529"/>
          <w:sz w:val="24"/>
          <w:szCs w:val="24"/>
          <w:lang w:eastAsia="en-GB"/>
        </w:rPr>
        <w:t xml:space="preserve">AIFM, follow a number of different investment strategies with varying consideration of environmental, social and governance (ESG) and sustainability factors, PAI can be  considered on case by case at the level of </w:t>
      </w:r>
      <w:r>
        <w:rPr>
          <w:rFonts w:ascii="Open Sans" w:eastAsia="Times New Roman" w:hAnsi="Open Sans" w:cs="Open Sans"/>
          <w:color w:val="212529"/>
          <w:sz w:val="24"/>
          <w:szCs w:val="24"/>
          <w:lang w:eastAsia="en-GB"/>
        </w:rPr>
        <w:t>F</w:t>
      </w:r>
      <w:r w:rsidRPr="00097412">
        <w:rPr>
          <w:rFonts w:ascii="Open Sans" w:eastAsia="Times New Roman" w:hAnsi="Open Sans" w:cs="Open Sans"/>
          <w:color w:val="212529"/>
          <w:sz w:val="24"/>
          <w:szCs w:val="24"/>
          <w:lang w:eastAsia="en-GB"/>
        </w:rPr>
        <w:t>unds.</w:t>
      </w:r>
    </w:p>
    <w:p w:rsidR="00BB7111" w:rsidRDefault="00BB7111" w:rsidP="00BB7111">
      <w:pPr>
        <w:jc w:val="both"/>
        <w:rPr>
          <w:rFonts w:ascii="Open Sans" w:eastAsia="Times New Roman" w:hAnsi="Open Sans" w:cs="Open Sans"/>
          <w:color w:val="212529"/>
          <w:sz w:val="24"/>
          <w:szCs w:val="24"/>
          <w:lang w:eastAsia="en-GB"/>
        </w:rPr>
      </w:pP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Should Portfolio Managers wish to consider PAI in respect of the Funds in line with Article 7 of SFDR, FRMC shall ensure that:</w:t>
      </w:r>
    </w:p>
    <w:p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 Delegated Manager has the appropriate infrastructure in place to report on PAI on an ongoing basis;</w:t>
      </w:r>
    </w:p>
    <w:p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Where PAI are to be considered in respect of the Funds, the appropriate disclosures are made in the pre-contractual documents in line with SFDR by 31 December 2022;</w:t>
      </w:r>
    </w:p>
    <w:p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 list of Funds for which PAI are considered is available on request;</w:t>
      </w:r>
    </w:p>
    <w:p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 processes, systems and procedures in place to consider and report on PAI in respect of each Fund shall remain subject to FRMC’</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periodic due diligence;</w:t>
      </w:r>
    </w:p>
    <w:p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lastRenderedPageBreak/>
        <w:t>The Portfolio Manager also provides or publishe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on its website appropriate disclosures in accordance with Article 4(1) and (2) of SFDR, while also considering the associated Regulatory Technical Standards once adopted by the European Commission, in respect of the Funds;</w:t>
      </w:r>
    </w:p>
    <w:p w:rsidR="00BB7111" w:rsidRPr="00AE5809" w:rsidRDefault="00BB7111" w:rsidP="00BB7111">
      <w:pPr>
        <w:pStyle w:val="ListParagraph"/>
        <w:numPr>
          <w:ilvl w:val="0"/>
          <w:numId w:val="3"/>
        </w:numPr>
        <w:rPr>
          <w:lang w:eastAsia="en-GB"/>
        </w:rPr>
      </w:pPr>
      <w:r w:rsidRPr="00097412">
        <w:rPr>
          <w:rFonts w:ascii="Open Sans" w:eastAsia="Times New Roman" w:hAnsi="Open Sans" w:cs="Open Sans"/>
          <w:color w:val="212529"/>
          <w:sz w:val="24"/>
          <w:szCs w:val="24"/>
          <w:lang w:eastAsia="en-GB"/>
        </w:rPr>
        <w:t xml:space="preserve">The periodic reports of the Funds contain sufficient and appropriate information </w:t>
      </w:r>
      <w:r w:rsidRPr="00771B6B">
        <w:rPr>
          <w:rFonts w:ascii="Open Sans" w:eastAsia="Times New Roman" w:hAnsi="Open Sans" w:cs="Open Sans"/>
          <w:color w:val="212529"/>
          <w:sz w:val="24"/>
          <w:szCs w:val="24"/>
          <w:lang w:eastAsia="en-GB"/>
        </w:rPr>
        <w:t>in relation to the assessment of PAI.</w:t>
      </w:r>
    </w:p>
    <w:p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Where PAI are not considered in respect of the Funds to which FRMC act</w:t>
      </w:r>
      <w:r>
        <w:rPr>
          <w:rFonts w:ascii="Open Sans" w:eastAsia="Times New Roman" w:hAnsi="Open Sans" w:cs="Open Sans"/>
          <w:color w:val="212529"/>
          <w:sz w:val="24"/>
          <w:szCs w:val="24"/>
          <w:lang w:eastAsia="en-GB"/>
        </w:rPr>
        <w:t xml:space="preserve"> as Management Company or AIFM</w:t>
      </w:r>
      <w:r w:rsidRPr="00112D9A">
        <w:rPr>
          <w:rFonts w:ascii="Open Sans" w:eastAsia="Times New Roman" w:hAnsi="Open Sans" w:cs="Open Sans"/>
          <w:color w:val="212529"/>
          <w:sz w:val="24"/>
          <w:szCs w:val="24"/>
          <w:lang w:eastAsia="en-GB"/>
        </w:rPr>
        <w:t>, FRMC shall ensure appropriate disclosures are contained within the relevant pre-contractual documents. For further information as to why PAI are not considered in respect of a particular Fund, please refer to the prospectus/supplement of that Fund.</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In instances where FRMC retains portfolio</w:t>
      </w:r>
      <w:r>
        <w:rPr>
          <w:rFonts w:ascii="Open Sans" w:eastAsia="Times New Roman" w:hAnsi="Open Sans" w:cs="Open Sans"/>
          <w:color w:val="212529"/>
          <w:sz w:val="24"/>
          <w:szCs w:val="24"/>
          <w:lang w:eastAsia="en-GB"/>
        </w:rPr>
        <w:t xml:space="preserve"> </w:t>
      </w:r>
      <w:r w:rsidRPr="00112D9A">
        <w:rPr>
          <w:rFonts w:ascii="Open Sans" w:eastAsia="Times New Roman" w:hAnsi="Open Sans" w:cs="Open Sans"/>
          <w:color w:val="212529"/>
          <w:sz w:val="24"/>
          <w:szCs w:val="24"/>
          <w:lang w:eastAsia="en-GB"/>
        </w:rPr>
        <w:t>management, FRMC may consider PAI in respect of those funds, provided that the steps described in 1 to 6 of the above are carried out in an equivalent manner with appropriate disclosures made on its website. FRMC also acknowledge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that in certain instances, the </w:t>
      </w:r>
      <w:r>
        <w:rPr>
          <w:rFonts w:ascii="Open Sans" w:eastAsia="Times New Roman" w:hAnsi="Open Sans" w:cs="Open Sans"/>
          <w:color w:val="212529"/>
          <w:sz w:val="24"/>
          <w:szCs w:val="24"/>
          <w:lang w:eastAsia="en-GB"/>
        </w:rPr>
        <w:t>Investment</w:t>
      </w:r>
      <w:r w:rsidRPr="00112D9A">
        <w:rPr>
          <w:rFonts w:ascii="Open Sans" w:eastAsia="Times New Roman" w:hAnsi="Open Sans" w:cs="Open Sans"/>
          <w:color w:val="212529"/>
          <w:sz w:val="24"/>
          <w:szCs w:val="24"/>
          <w:lang w:eastAsia="en-GB"/>
        </w:rPr>
        <w:t xml:space="preserve"> Advisors may publish information on their own website in respect of PAI </w:t>
      </w:r>
      <w:r>
        <w:rPr>
          <w:rFonts w:ascii="Open Sans" w:eastAsia="Times New Roman" w:hAnsi="Open Sans" w:cs="Open Sans"/>
          <w:color w:val="212529"/>
          <w:sz w:val="24"/>
          <w:szCs w:val="24"/>
          <w:lang w:eastAsia="en-GB"/>
        </w:rPr>
        <w:t xml:space="preserve">for </w:t>
      </w:r>
      <w:r w:rsidRPr="00112D9A">
        <w:rPr>
          <w:rFonts w:ascii="Open Sans" w:eastAsia="Times New Roman" w:hAnsi="Open Sans" w:cs="Open Sans"/>
          <w:color w:val="212529"/>
          <w:sz w:val="24"/>
          <w:szCs w:val="24"/>
          <w:lang w:eastAsia="en-GB"/>
        </w:rPr>
        <w:t>the</w:t>
      </w:r>
      <w:r>
        <w:rPr>
          <w:rFonts w:ascii="Open Sans" w:eastAsia="Times New Roman" w:hAnsi="Open Sans" w:cs="Open Sans"/>
          <w:color w:val="212529"/>
          <w:sz w:val="24"/>
          <w:szCs w:val="24"/>
          <w:lang w:eastAsia="en-GB"/>
        </w:rPr>
        <w:t xml:space="preserve"> concerned</w:t>
      </w:r>
      <w:r w:rsidRPr="00112D9A">
        <w:rPr>
          <w:rFonts w:ascii="Open Sans" w:eastAsia="Times New Roman" w:hAnsi="Open Sans" w:cs="Open Sans"/>
          <w:color w:val="212529"/>
          <w:sz w:val="24"/>
          <w:szCs w:val="24"/>
          <w:lang w:eastAsia="en-GB"/>
        </w:rPr>
        <w:t xml:space="preserve"> Funds.</w:t>
      </w:r>
    </w:p>
    <w:p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This position shall remain subject to ongoing review in line with market practi</w:t>
      </w:r>
      <w:r>
        <w:rPr>
          <w:rFonts w:ascii="Open Sans" w:eastAsia="Times New Roman" w:hAnsi="Open Sans" w:cs="Open Sans"/>
          <w:color w:val="212529"/>
          <w:sz w:val="24"/>
          <w:szCs w:val="24"/>
          <w:lang w:eastAsia="en-GB"/>
        </w:rPr>
        <w:t>c</w:t>
      </w:r>
      <w:r w:rsidRPr="00112D9A">
        <w:rPr>
          <w:rFonts w:ascii="Open Sans" w:eastAsia="Times New Roman" w:hAnsi="Open Sans" w:cs="Open Sans"/>
          <w:color w:val="212529"/>
          <w:sz w:val="24"/>
          <w:szCs w:val="24"/>
          <w:lang w:eastAsia="en-GB"/>
        </w:rPr>
        <w:t>e and regulatory developments. FRMC periodically reassess the integration of sustainability risks, PAI statements, policies adopted and reporting made in respect of the Funds to ensure their continued appropriateness.</w:t>
      </w:r>
    </w:p>
    <w:p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These Statements are subject at least to annual review.</w:t>
      </w:r>
    </w:p>
    <w:p w:rsidR="00BB7111" w:rsidRDefault="00BB7111" w:rsidP="00BB7111">
      <w:pPr>
        <w:jc w:val="both"/>
      </w:pPr>
    </w:p>
    <w:p w:rsidR="00BB7111" w:rsidRPr="00CE7E29" w:rsidRDefault="00BB7111" w:rsidP="00BB7111">
      <w:pPr>
        <w:jc w:val="both"/>
        <w:rPr>
          <w:sz w:val="24"/>
          <w:szCs w:val="24"/>
        </w:rPr>
      </w:pPr>
      <w:r w:rsidRPr="005E4C71">
        <w:rPr>
          <w:b/>
          <w:sz w:val="24"/>
          <w:szCs w:val="24"/>
        </w:rPr>
        <w:t>For further queries relating to FundRock Management Company S.A. please contact:</w:t>
      </w:r>
      <w:r>
        <w:rPr>
          <w:sz w:val="24"/>
          <w:szCs w:val="24"/>
        </w:rPr>
        <w:t xml:space="preserve"> </w:t>
      </w:r>
      <w:hyperlink r:id="rId11" w:history="1">
        <w:r>
          <w:rPr>
            <w:rStyle w:val="Strong"/>
            <w:rFonts w:ascii="Open Sans" w:hAnsi="Open Sans" w:cs="Open Sans"/>
            <w:color w:val="DB752F"/>
            <w:u w:val="single"/>
            <w:shd w:val="clear" w:color="auto" w:fill="FFFFFF"/>
          </w:rPr>
          <w:t>FRMC_CRM@FundRock.com</w:t>
        </w:r>
      </w:hyperlink>
      <w:r>
        <w:rPr>
          <w:rStyle w:val="Strong"/>
          <w:rFonts w:ascii="Open Sans" w:hAnsi="Open Sans" w:cs="Open Sans"/>
          <w:color w:val="DB752F"/>
          <w:u w:val="single"/>
          <w:shd w:val="clear" w:color="auto" w:fill="FFFFFF"/>
        </w:rPr>
        <w:t xml:space="preserve"> or Alternatives@fundrock.com</w:t>
      </w:r>
    </w:p>
    <w:p w:rsidR="6769C3BB" w:rsidRDefault="6769C3BB" w:rsidP="00402154">
      <w:pPr>
        <w:spacing w:line="276" w:lineRule="auto"/>
        <w:ind w:left="284"/>
        <w:jc w:val="both"/>
      </w:pPr>
    </w:p>
    <w:sectPr w:rsidR="6769C3BB" w:rsidSect="00BB7111">
      <w:headerReference w:type="default" r:id="rId12"/>
      <w:headerReference w:type="first" r:id="rId13"/>
      <w:footerReference w:type="first" r:id="rId14"/>
      <w:pgSz w:w="11906" w:h="16838" w:code="9"/>
      <w:pgMar w:top="1843" w:right="2722" w:bottom="2410" w:left="1134"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11" w:rsidRDefault="00BB7111" w:rsidP="005D32FF">
      <w:pPr>
        <w:spacing w:after="0"/>
      </w:pPr>
      <w:r>
        <w:separator/>
      </w:r>
    </w:p>
  </w:endnote>
  <w:endnote w:type="continuationSeparator" w:id="0">
    <w:p w:rsidR="00BB7111" w:rsidRDefault="00BB7111" w:rsidP="005D3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1E" w:rsidRDefault="003C35CB" w:rsidP="00B20D3C">
    <w:pPr>
      <w:pStyle w:val="Footer"/>
    </w:pPr>
    <w:r>
      <w:rPr>
        <w:noProof/>
        <w:lang w:eastAsia="en-GB"/>
      </w:rPr>
      <mc:AlternateContent>
        <mc:Choice Requires="wps">
          <w:drawing>
            <wp:anchor distT="0" distB="0" distL="0" distR="0" simplePos="0" relativeHeight="251661312" behindDoc="0" locked="0" layoutInCell="1" allowOverlap="1" wp14:anchorId="25B5730C" wp14:editId="7188D6B7">
              <wp:simplePos x="0" y="0"/>
              <wp:positionH relativeFrom="page">
                <wp:posOffset>5511081</wp:posOffset>
              </wp:positionH>
              <wp:positionV relativeFrom="page">
                <wp:posOffset>9931400</wp:posOffset>
              </wp:positionV>
              <wp:extent cx="1285336" cy="198407"/>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285336" cy="198407"/>
                      </a:xfrm>
                      <a:prstGeom prst="rect">
                        <a:avLst/>
                      </a:prstGeom>
                      <a:noFill/>
                      <a:ln w="9525" cap="flat" cmpd="sng" algn="ctr">
                        <a:noFill/>
                        <a:prstDash val="solid"/>
                        <a:round/>
                        <a:headEnd type="none" w="med" len="med"/>
                        <a:tailEnd type="none" w="med" len="med"/>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C35CB" w:rsidRPr="003C35CB" w:rsidRDefault="003C35CB" w:rsidP="003C35CB">
                          <w:pPr>
                            <w:pStyle w:val="AddressFrom"/>
                            <w:spacing w:after="0" w:line="240" w:lineRule="exact"/>
                            <w:rPr>
                              <w:rFonts w:ascii="Open Sans" w:hAnsi="Open Sans" w:cs="Open Sans"/>
                              <w:b/>
                              <w:bCs/>
                              <w:sz w:val="26"/>
                              <w:szCs w:val="26"/>
                              <w:lang w:val="en-US"/>
                            </w:rPr>
                          </w:pPr>
                          <w:r w:rsidRPr="003C35CB">
                            <w:rPr>
                              <w:rFonts w:ascii="Open Sans" w:hAnsi="Open Sans" w:cs="Open Sans"/>
                              <w:b/>
                              <w:bCs/>
                              <w:color w:val="154194"/>
                              <w:sz w:val="26"/>
                              <w:szCs w:val="26"/>
                              <w:lang w:val="en-US"/>
                            </w:rPr>
                            <w:t>fundrock.com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5730C" id="_x0000_t202" coordsize="21600,21600" o:spt="202" path="m,l,21600r21600,l21600,xe">
              <v:stroke joinstyle="miter"/>
              <v:path gradientshapeok="t" o:connecttype="rect"/>
            </v:shapetype>
            <v:shape id="Text Box 6" o:spid="_x0000_s1026" type="#_x0000_t202" style="position:absolute;margin-left:433.95pt;margin-top:782pt;width:101.2pt;height:15.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" filled="f" fillcolor="white [3201]" stroked="f">
              <v:stroke joinstyle="round"/>
              <v:textbox inset="0,0,0,0">
                <w:txbxContent>
                  <w:p w:rsidR="003C35CB" w:rsidRPr="003C35CB" w:rsidRDefault="003C35CB" w:rsidP="003C35CB">
                    <w:pPr>
                      <w:pStyle w:val="AddressFrom"/>
                      <w:spacing w:after="0" w:line="240" w:lineRule="exact"/>
                      <w:rPr>
                        <w:rFonts w:ascii="Open Sans" w:hAnsi="Open Sans" w:cs="Open Sans"/>
                        <w:b/>
                        <w:bCs/>
                        <w:sz w:val="26"/>
                        <w:szCs w:val="26"/>
                        <w:lang w:val="en-US"/>
                      </w:rPr>
                    </w:pPr>
                    <w:r w:rsidRPr="003C35CB">
                      <w:rPr>
                        <w:rFonts w:ascii="Open Sans" w:hAnsi="Open Sans" w:cs="Open Sans"/>
                        <w:b/>
                        <w:bCs/>
                        <w:color w:val="154194"/>
                        <w:sz w:val="26"/>
                        <w:szCs w:val="26"/>
                        <w:lang w:val="en-US"/>
                      </w:rPr>
                      <w:t>fundrock.com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11" w:rsidRDefault="00BB7111" w:rsidP="005D32FF">
      <w:pPr>
        <w:spacing w:after="0"/>
      </w:pPr>
      <w:r>
        <w:separator/>
      </w:r>
    </w:p>
  </w:footnote>
  <w:footnote w:type="continuationSeparator" w:id="0">
    <w:p w:rsidR="00BB7111" w:rsidRDefault="00BB7111" w:rsidP="005D32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FF" w:rsidRDefault="006036C6" w:rsidP="00B20D3C">
    <w:pPr>
      <w:pStyle w:val="Header"/>
    </w:pPr>
    <w:r>
      <w:rPr>
        <w:noProof/>
        <w:lang w:eastAsia="en-GB"/>
      </w:rPr>
      <w:drawing>
        <wp:anchor distT="0" distB="0" distL="114300" distR="114300" simplePos="0" relativeHeight="251657216" behindDoc="0" locked="0" layoutInCell="1" allowOverlap="1" wp14:anchorId="5E2FA38C" wp14:editId="43878AF8">
          <wp:simplePos x="0" y="0"/>
          <wp:positionH relativeFrom="margin">
            <wp:posOffset>-284925</wp:posOffset>
          </wp:positionH>
          <wp:positionV relativeFrom="page">
            <wp:posOffset>826265</wp:posOffset>
          </wp:positionV>
          <wp:extent cx="325367" cy="66277"/>
          <wp:effectExtent l="0" t="0" r="508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015" cy="69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3C" w:rsidRPr="00B20D3C" w:rsidRDefault="00A178B0" w:rsidP="00B20D3C">
    <w:pPr>
      <w:pStyle w:val="Header"/>
    </w:pPr>
    <w:r>
      <w:rPr>
        <w:noProof/>
        <w:lang w:eastAsia="en-GB"/>
      </w:rPr>
      <w:drawing>
        <wp:anchor distT="0" distB="0" distL="114300" distR="114300" simplePos="0" relativeHeight="251659264" behindDoc="1" locked="0" layoutInCell="1" allowOverlap="1" wp14:anchorId="689094EA" wp14:editId="3CB02BC3">
          <wp:simplePos x="0" y="0"/>
          <wp:positionH relativeFrom="column">
            <wp:posOffset>2622550</wp:posOffset>
          </wp:positionH>
          <wp:positionV relativeFrom="paragraph">
            <wp:posOffset>-450215</wp:posOffset>
          </wp:positionV>
          <wp:extent cx="4448175" cy="26682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8175" cy="2668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97A">
      <w:rPr>
        <w:noProof/>
        <w:lang w:eastAsia="en-GB"/>
      </w:rPr>
      <w:drawing>
        <wp:anchor distT="0" distB="0" distL="114300" distR="114300" simplePos="0" relativeHeight="251655168" behindDoc="1" locked="0" layoutInCell="1" allowOverlap="1" wp14:anchorId="38BF8932" wp14:editId="7CB3440A">
          <wp:simplePos x="0" y="0"/>
          <wp:positionH relativeFrom="page">
            <wp:posOffset>-52</wp:posOffset>
          </wp:positionH>
          <wp:positionV relativeFrom="page">
            <wp:posOffset>-230</wp:posOffset>
          </wp:positionV>
          <wp:extent cx="7542000" cy="10659600"/>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2000" cy="1065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0D3C" w:rsidRDefault="00B20D3C" w:rsidP="00B20D3C">
    <w:pPr>
      <w:pStyle w:val="Header"/>
    </w:pPr>
  </w:p>
  <w:p w:rsidR="00B20D3C" w:rsidRDefault="00B20D3C" w:rsidP="00B20D3C">
    <w:pPr>
      <w:pStyle w:val="Header"/>
    </w:pPr>
  </w:p>
  <w:p w:rsidR="005D32FF" w:rsidRDefault="005D32FF" w:rsidP="00B2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1102B"/>
    <w:multiLevelType w:val="multilevel"/>
    <w:tmpl w:val="E740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5F0027"/>
    <w:multiLevelType w:val="hybridMultilevel"/>
    <w:tmpl w:val="06A66100"/>
    <w:lvl w:ilvl="0" w:tplc="94ECAF50">
      <w:start w:val="1"/>
      <w:numFmt w:val="bullet"/>
      <w:lvlText w:val="·"/>
      <w:lvlJc w:val="left"/>
      <w:pPr>
        <w:ind w:left="720" w:hanging="360"/>
      </w:pPr>
      <w:rPr>
        <w:rFonts w:ascii="Symbol" w:hAnsi="Symbol" w:hint="default"/>
      </w:rPr>
    </w:lvl>
    <w:lvl w:ilvl="1" w:tplc="084CAF32">
      <w:start w:val="1"/>
      <w:numFmt w:val="bullet"/>
      <w:lvlText w:val="o"/>
      <w:lvlJc w:val="left"/>
      <w:pPr>
        <w:ind w:left="1440" w:hanging="360"/>
      </w:pPr>
      <w:rPr>
        <w:rFonts w:ascii="Courier New" w:hAnsi="Courier New" w:hint="default"/>
      </w:rPr>
    </w:lvl>
    <w:lvl w:ilvl="2" w:tplc="8D661B26">
      <w:start w:val="1"/>
      <w:numFmt w:val="bullet"/>
      <w:lvlText w:val=""/>
      <w:lvlJc w:val="left"/>
      <w:pPr>
        <w:ind w:left="2160" w:hanging="360"/>
      </w:pPr>
      <w:rPr>
        <w:rFonts w:ascii="Wingdings" w:hAnsi="Wingdings" w:hint="default"/>
      </w:rPr>
    </w:lvl>
    <w:lvl w:ilvl="3" w:tplc="F0847940">
      <w:start w:val="1"/>
      <w:numFmt w:val="bullet"/>
      <w:lvlText w:val=""/>
      <w:lvlJc w:val="left"/>
      <w:pPr>
        <w:ind w:left="2880" w:hanging="360"/>
      </w:pPr>
      <w:rPr>
        <w:rFonts w:ascii="Symbol" w:hAnsi="Symbol" w:hint="default"/>
      </w:rPr>
    </w:lvl>
    <w:lvl w:ilvl="4" w:tplc="0040CE8E">
      <w:start w:val="1"/>
      <w:numFmt w:val="bullet"/>
      <w:lvlText w:val="o"/>
      <w:lvlJc w:val="left"/>
      <w:pPr>
        <w:ind w:left="3600" w:hanging="360"/>
      </w:pPr>
      <w:rPr>
        <w:rFonts w:ascii="Courier New" w:hAnsi="Courier New" w:hint="default"/>
      </w:rPr>
    </w:lvl>
    <w:lvl w:ilvl="5" w:tplc="C8AA9578">
      <w:start w:val="1"/>
      <w:numFmt w:val="bullet"/>
      <w:lvlText w:val=""/>
      <w:lvlJc w:val="left"/>
      <w:pPr>
        <w:ind w:left="4320" w:hanging="360"/>
      </w:pPr>
      <w:rPr>
        <w:rFonts w:ascii="Wingdings" w:hAnsi="Wingdings" w:hint="default"/>
      </w:rPr>
    </w:lvl>
    <w:lvl w:ilvl="6" w:tplc="88CC5C12">
      <w:start w:val="1"/>
      <w:numFmt w:val="bullet"/>
      <w:lvlText w:val=""/>
      <w:lvlJc w:val="left"/>
      <w:pPr>
        <w:ind w:left="5040" w:hanging="360"/>
      </w:pPr>
      <w:rPr>
        <w:rFonts w:ascii="Symbol" w:hAnsi="Symbol" w:hint="default"/>
      </w:rPr>
    </w:lvl>
    <w:lvl w:ilvl="7" w:tplc="8354AC7C">
      <w:start w:val="1"/>
      <w:numFmt w:val="bullet"/>
      <w:lvlText w:val="o"/>
      <w:lvlJc w:val="left"/>
      <w:pPr>
        <w:ind w:left="5760" w:hanging="360"/>
      </w:pPr>
      <w:rPr>
        <w:rFonts w:ascii="Courier New" w:hAnsi="Courier New" w:hint="default"/>
      </w:rPr>
    </w:lvl>
    <w:lvl w:ilvl="8" w:tplc="7AFA48D8">
      <w:start w:val="1"/>
      <w:numFmt w:val="bullet"/>
      <w:lvlText w:val=""/>
      <w:lvlJc w:val="left"/>
      <w:pPr>
        <w:ind w:left="6480" w:hanging="360"/>
      </w:pPr>
      <w:rPr>
        <w:rFonts w:ascii="Wingdings" w:hAnsi="Wingdings" w:hint="default"/>
      </w:rPr>
    </w:lvl>
  </w:abstractNum>
  <w:abstractNum w:abstractNumId="2" w15:restartNumberingAfterBreak="0">
    <w:nsid w:val="5AE26580"/>
    <w:multiLevelType w:val="multilevel"/>
    <w:tmpl w:val="0E9CD9B6"/>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11"/>
    <w:rsid w:val="00043545"/>
    <w:rsid w:val="000B0E67"/>
    <w:rsid w:val="000C7BF5"/>
    <w:rsid w:val="001139AD"/>
    <w:rsid w:val="001506FF"/>
    <w:rsid w:val="001B409F"/>
    <w:rsid w:val="001E60CE"/>
    <w:rsid w:val="001F6AB2"/>
    <w:rsid w:val="0022410A"/>
    <w:rsid w:val="002602D9"/>
    <w:rsid w:val="00283AFB"/>
    <w:rsid w:val="002C1B8C"/>
    <w:rsid w:val="002E543F"/>
    <w:rsid w:val="002F2244"/>
    <w:rsid w:val="002F7032"/>
    <w:rsid w:val="00324328"/>
    <w:rsid w:val="003551B4"/>
    <w:rsid w:val="00362102"/>
    <w:rsid w:val="003730BC"/>
    <w:rsid w:val="00392A07"/>
    <w:rsid w:val="003C35CB"/>
    <w:rsid w:val="003F3113"/>
    <w:rsid w:val="00402154"/>
    <w:rsid w:val="00417503"/>
    <w:rsid w:val="00421D23"/>
    <w:rsid w:val="004544F9"/>
    <w:rsid w:val="00493474"/>
    <w:rsid w:val="005071E1"/>
    <w:rsid w:val="00516A1B"/>
    <w:rsid w:val="005241CC"/>
    <w:rsid w:val="00524BD8"/>
    <w:rsid w:val="0053189F"/>
    <w:rsid w:val="00556D75"/>
    <w:rsid w:val="00563DBB"/>
    <w:rsid w:val="00573E1E"/>
    <w:rsid w:val="0057573B"/>
    <w:rsid w:val="00582D18"/>
    <w:rsid w:val="00584606"/>
    <w:rsid w:val="005866DB"/>
    <w:rsid w:val="005973A1"/>
    <w:rsid w:val="005D32FF"/>
    <w:rsid w:val="005D555A"/>
    <w:rsid w:val="006036C6"/>
    <w:rsid w:val="006447E0"/>
    <w:rsid w:val="0065311E"/>
    <w:rsid w:val="00671CCD"/>
    <w:rsid w:val="006746D0"/>
    <w:rsid w:val="006F7345"/>
    <w:rsid w:val="00705CD6"/>
    <w:rsid w:val="00756C78"/>
    <w:rsid w:val="007C6569"/>
    <w:rsid w:val="007F35B5"/>
    <w:rsid w:val="007F61AC"/>
    <w:rsid w:val="00837976"/>
    <w:rsid w:val="0086499A"/>
    <w:rsid w:val="0089346D"/>
    <w:rsid w:val="00906989"/>
    <w:rsid w:val="00912E9A"/>
    <w:rsid w:val="009A490E"/>
    <w:rsid w:val="00A178B0"/>
    <w:rsid w:val="00A32D0D"/>
    <w:rsid w:val="00A56BDB"/>
    <w:rsid w:val="00AE037C"/>
    <w:rsid w:val="00B20D3C"/>
    <w:rsid w:val="00B3197A"/>
    <w:rsid w:val="00B5645C"/>
    <w:rsid w:val="00B56A03"/>
    <w:rsid w:val="00B934B4"/>
    <w:rsid w:val="00BB1118"/>
    <w:rsid w:val="00BB7111"/>
    <w:rsid w:val="00BF478D"/>
    <w:rsid w:val="00C01C39"/>
    <w:rsid w:val="00C420D6"/>
    <w:rsid w:val="00C60328"/>
    <w:rsid w:val="00C77EDB"/>
    <w:rsid w:val="00CD030A"/>
    <w:rsid w:val="00D15AA3"/>
    <w:rsid w:val="00D50526"/>
    <w:rsid w:val="00DA13B1"/>
    <w:rsid w:val="00DA513F"/>
    <w:rsid w:val="00DC1C05"/>
    <w:rsid w:val="00DD4B47"/>
    <w:rsid w:val="00DE75D5"/>
    <w:rsid w:val="00DF2CB0"/>
    <w:rsid w:val="00E70B83"/>
    <w:rsid w:val="00E97399"/>
    <w:rsid w:val="00EA0AD9"/>
    <w:rsid w:val="00ED0E23"/>
    <w:rsid w:val="00EE2C1C"/>
    <w:rsid w:val="00F46FE2"/>
    <w:rsid w:val="00F47CC9"/>
    <w:rsid w:val="00F74D97"/>
    <w:rsid w:val="03997548"/>
    <w:rsid w:val="383A07D5"/>
    <w:rsid w:val="3D478D54"/>
    <w:rsid w:val="3EE35DB5"/>
    <w:rsid w:val="407F2E16"/>
    <w:rsid w:val="5BC6C9B0"/>
    <w:rsid w:val="6769C3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7E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11"/>
    <w:pPr>
      <w:spacing w:after="60" w:line="240" w:lineRule="auto"/>
    </w:pPr>
    <w:rPr>
      <w:rFonts w:ascii="Calibri" w:hAnsi="Calibri"/>
      <w:sz w:val="20"/>
    </w:rPr>
  </w:style>
  <w:style w:type="paragraph" w:styleId="Heading1">
    <w:name w:val="heading 1"/>
    <w:basedOn w:val="Normal"/>
    <w:next w:val="Normal"/>
    <w:link w:val="Heading1Char"/>
    <w:uiPriority w:val="9"/>
    <w:qFormat/>
    <w:rsid w:val="002C1B8C"/>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semiHidden/>
    <w:unhideWhenUsed/>
    <w:qFormat/>
    <w:rsid w:val="002C1B8C"/>
    <w:pPr>
      <w:keepNext/>
      <w:keepLines/>
      <w:spacing w:before="40" w:after="0"/>
      <w:outlineLvl w:val="1"/>
    </w:pPr>
    <w:rPr>
      <w:rFonts w:asciiTheme="majorHAnsi" w:eastAsiaTheme="majorEastAsia" w:hAnsiTheme="majorHAnsi"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1AC"/>
    <w:pPr>
      <w:tabs>
        <w:tab w:val="center" w:pos="4513"/>
        <w:tab w:val="right" w:pos="9026"/>
      </w:tabs>
      <w:spacing w:after="0"/>
    </w:pPr>
    <w:rPr>
      <w:sz w:val="22"/>
      <w:szCs w:val="24"/>
    </w:rPr>
  </w:style>
  <w:style w:type="character" w:customStyle="1" w:styleId="HeaderChar">
    <w:name w:val="Header Char"/>
    <w:basedOn w:val="DefaultParagraphFont"/>
    <w:link w:val="Header"/>
    <w:uiPriority w:val="99"/>
    <w:rsid w:val="007F61AC"/>
    <w:rPr>
      <w:szCs w:val="24"/>
    </w:rPr>
  </w:style>
  <w:style w:type="paragraph" w:styleId="Footer">
    <w:name w:val="footer"/>
    <w:basedOn w:val="Normal"/>
    <w:link w:val="FooterChar"/>
    <w:uiPriority w:val="99"/>
    <w:unhideWhenUsed/>
    <w:rsid w:val="007F61AC"/>
    <w:pPr>
      <w:spacing w:after="0" w:line="120" w:lineRule="exact"/>
    </w:pPr>
    <w:rPr>
      <w:sz w:val="11"/>
      <w:szCs w:val="12"/>
    </w:rPr>
  </w:style>
  <w:style w:type="character" w:customStyle="1" w:styleId="FooterChar">
    <w:name w:val="Footer Char"/>
    <w:basedOn w:val="DefaultParagraphFont"/>
    <w:link w:val="Footer"/>
    <w:uiPriority w:val="99"/>
    <w:rsid w:val="007F61AC"/>
    <w:rPr>
      <w:sz w:val="11"/>
      <w:szCs w:val="12"/>
    </w:rPr>
  </w:style>
  <w:style w:type="character" w:customStyle="1" w:styleId="Heading1Char">
    <w:name w:val="Heading 1 Char"/>
    <w:basedOn w:val="DefaultParagraphFont"/>
    <w:link w:val="Heading1"/>
    <w:uiPriority w:val="9"/>
    <w:rsid w:val="002C1B8C"/>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semiHidden/>
    <w:rsid w:val="002C1B8C"/>
    <w:rPr>
      <w:rFonts w:asciiTheme="majorHAnsi" w:eastAsiaTheme="majorEastAsia" w:hAnsiTheme="majorHAnsi" w:cstheme="majorBidi"/>
      <w:color w:val="2F5496" w:themeColor="accent1" w:themeShade="BF"/>
      <w:sz w:val="24"/>
      <w:szCs w:val="26"/>
    </w:rPr>
  </w:style>
  <w:style w:type="paragraph" w:customStyle="1" w:styleId="AddressFrom">
    <w:name w:val="AddressFrom"/>
    <w:basedOn w:val="Normal"/>
    <w:qFormat/>
    <w:rsid w:val="007F61AC"/>
    <w:pPr>
      <w:spacing w:line="190" w:lineRule="exact"/>
    </w:pPr>
    <w:rPr>
      <w:sz w:val="16"/>
      <w:szCs w:val="16"/>
    </w:rPr>
  </w:style>
  <w:style w:type="paragraph" w:customStyle="1" w:styleId="AddressTo">
    <w:name w:val="AddressTo"/>
    <w:basedOn w:val="Normal"/>
    <w:qFormat/>
    <w:rsid w:val="00DC1C05"/>
    <w:pPr>
      <w:spacing w:after="0"/>
    </w:pPr>
  </w:style>
  <w:style w:type="character" w:styleId="PlaceholderText">
    <w:name w:val="Placeholder Text"/>
    <w:basedOn w:val="DefaultParagraphFont"/>
    <w:uiPriority w:val="99"/>
    <w:semiHidden/>
    <w:rsid w:val="00ED0E23"/>
    <w:rPr>
      <w:color w:val="808080"/>
    </w:rPr>
  </w:style>
  <w:style w:type="paragraph" w:customStyle="1" w:styleId="Disclaimer">
    <w:name w:val="Disclaimer"/>
    <w:basedOn w:val="Footer"/>
    <w:qFormat/>
    <w:rsid w:val="00C420D6"/>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BB711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B7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MC_CRM@FundRoc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9525" cap="flat" cmpd="sng" algn="ctr">
          <a:noFill/>
          <a:prstDash val="solid"/>
          <a:round/>
          <a:headEnd type="none" w="med" len="med"/>
          <a:tailEnd type="none" w="med" len="med"/>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a:spPr>
      <a:bodyPr wrap="square" lIns="0" tIns="0" rIns="0" bIns="0" rtlCol="0" anchor="b"/>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78FD23C854C0498D2893BBF7A8D68C" ma:contentTypeVersion="16" ma:contentTypeDescription="Create a new document." ma:contentTypeScope="" ma:versionID="dd0491f199510c12f5cc4efd68358bd5">
  <xsd:schema xmlns:xsd="http://www.w3.org/2001/XMLSchema" xmlns:xs="http://www.w3.org/2001/XMLSchema" xmlns:p="http://schemas.microsoft.com/office/2006/metadata/properties" xmlns:ns2="5df9d178-fa04-4f20-915f-3e492880ef1f" xmlns:ns3="41e3689b-c54f-4722-aaf1-fae68ec59c57" xmlns:ns4="ce5ad502-16fa-4fe3-94e6-71b756eaec8a" targetNamespace="http://schemas.microsoft.com/office/2006/metadata/properties" ma:root="true" ma:fieldsID="459ef9824a0582ac2f2ee80a827d7348" ns2:_="" ns3:_="" ns4:_="">
    <xsd:import namespace="5df9d178-fa04-4f20-915f-3e492880ef1f"/>
    <xsd:import namespace="41e3689b-c54f-4722-aaf1-fae68ec59c57"/>
    <xsd:import namespace="ce5ad502-16fa-4fe3-94e6-71b756eae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9d178-fa04-4f20-915f-3e492880e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b9abed-0f70-4477-aa8c-2c6b1020b9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3689b-c54f-4722-aaf1-fae68ec59c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ad502-16fa-4fe3-94e6-71b756eaec8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2c842b-192a-4338-950a-a4091d9eb67a}" ma:internalName="TaxCatchAll" ma:showField="CatchAllData" ma:web="41e3689b-c54f-4722-aaf1-fae68ec59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ad502-16fa-4fe3-94e6-71b756eaec8a" xsi:nil="true"/>
    <SharedWithUsers xmlns="41e3689b-c54f-4722-aaf1-fae68ec59c57">
      <UserInfo>
        <DisplayName>Jasmina Dikovic</DisplayName>
        <AccountId>378</AccountId>
        <AccountType/>
      </UserInfo>
      <UserInfo>
        <DisplayName>Don Rondganger</DisplayName>
        <AccountId>4280</AccountId>
        <AccountType/>
      </UserInfo>
    </SharedWithUsers>
    <lcf76f155ced4ddcb4097134ff3c332f xmlns="5df9d178-fa04-4f20-915f-3e492880ef1f">
      <Terms xmlns="http://schemas.microsoft.com/office/infopath/2007/PartnerControls"/>
    </lcf76f155ced4ddcb4097134ff3c332f>
    <MediaLengthInSeconds xmlns="5df9d178-fa04-4f20-915f-3e492880ef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0EDE-FF8E-4559-B50E-94E4789E9C44}">
  <ds:schemaRefs>
    <ds:schemaRef ds:uri="http://schemas.microsoft.com/sharepoint/v3/contenttype/forms"/>
  </ds:schemaRefs>
</ds:datastoreItem>
</file>

<file path=customXml/itemProps2.xml><?xml version="1.0" encoding="utf-8"?>
<ds:datastoreItem xmlns:ds="http://schemas.openxmlformats.org/officeDocument/2006/customXml" ds:itemID="{710A83F9-0EA3-46CF-9559-B8E997BAF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9d178-fa04-4f20-915f-3e492880ef1f"/>
    <ds:schemaRef ds:uri="41e3689b-c54f-4722-aaf1-fae68ec59c57"/>
    <ds:schemaRef ds:uri="ce5ad502-16fa-4fe3-94e6-71b756ea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B26DF-31C9-4E58-9DB2-3D2A6B1C9C36}">
  <ds:schemaRefs>
    <ds:schemaRef ds:uri="http://schemas.openxmlformats.org/package/2006/metadata/core-properties"/>
    <ds:schemaRef ds:uri="http://purl.org/dc/terms/"/>
    <ds:schemaRef ds:uri="5df9d178-fa04-4f20-915f-3e492880ef1f"/>
    <ds:schemaRef ds:uri="http://schemas.microsoft.com/office/2006/documentManagement/types"/>
    <ds:schemaRef ds:uri="http://schemas.microsoft.com/office/infopath/2007/PartnerControls"/>
    <ds:schemaRef ds:uri="ce5ad502-16fa-4fe3-94e6-71b756eaec8a"/>
    <ds:schemaRef ds:uri="http://purl.org/dc/elements/1.1/"/>
    <ds:schemaRef ds:uri="http://schemas.microsoft.com/office/2006/metadata/properties"/>
    <ds:schemaRef ds:uri="41e3689b-c54f-4722-aaf1-fae68ec59c57"/>
    <ds:schemaRef ds:uri="http://www.w3.org/XML/1998/namespace"/>
    <ds:schemaRef ds:uri="http://purl.org/dc/dcmitype/"/>
  </ds:schemaRefs>
</ds:datastoreItem>
</file>

<file path=customXml/itemProps4.xml><?xml version="1.0" encoding="utf-8"?>
<ds:datastoreItem xmlns:ds="http://schemas.openxmlformats.org/officeDocument/2006/customXml" ds:itemID="{8FC39368-565D-4F74-AC48-B78AC4D9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2023-02-14T15:51:00Z</dcterms:created>
  <dcterms:modified xsi:type="dcterms:W3CDTF">2023-02-14T15:54:00Z</dcterms:modified>
</cp:coreProperties>
</file>