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33DF0661" w:rsidR="00B662E0" w:rsidRPr="00CA68A2" w:rsidRDefault="00DD0638" w:rsidP="00CA68A2">
      <w:pPr>
        <w:autoSpaceDE w:val="0"/>
        <w:autoSpaceDN w:val="0"/>
        <w:spacing w:line="276" w:lineRule="auto"/>
        <w:rPr>
          <w:rFonts w:asciiTheme="minorHAnsi" w:hAnsiTheme="minorHAnsi" w:cstheme="minorHAnsi"/>
          <w:b/>
          <w:sz w:val="20"/>
          <w:szCs w:val="20"/>
        </w:rPr>
      </w:pPr>
      <w:hyperlink r:id="rId12" w:history="1">
        <w:r w:rsidR="00C57656" w:rsidRPr="00CA68A2">
          <w:rPr>
            <w:rStyle w:val="Hyperlink"/>
            <w:rFonts w:asciiTheme="minorHAnsi" w:hAnsiTheme="minorHAnsi" w:cstheme="minorHAnsi"/>
            <w:b/>
            <w:sz w:val="20"/>
            <w:szCs w:val="20"/>
          </w:rPr>
          <w:t>shareholder.guernsey@maitlandgroup.com</w:t>
        </w:r>
      </w:hyperlink>
      <w:r w:rsidR="00C57656" w:rsidRPr="00CA68A2">
        <w:rPr>
          <w:rFonts w:asciiTheme="minorHAnsi" w:hAnsiTheme="minorHAnsi" w:cstheme="minorHAnsi"/>
          <w:b/>
          <w:sz w:val="20"/>
          <w:szCs w:val="20"/>
        </w:rPr>
        <w:t xml:space="preserve">  </w:t>
      </w:r>
    </w:p>
    <w:p w14:paraId="123CB28C" w14:textId="77777777" w:rsidR="00DD0638" w:rsidRDefault="00DD0638" w:rsidP="00DD0638">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55C4B70B"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32FC606"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 xml:space="preserve">an </w:t>
            </w:r>
            <w:proofErr w:type="spellStart"/>
            <w:r w:rsidRPr="00CA68A2">
              <w:rPr>
                <w:rFonts w:asciiTheme="minorHAnsi" w:hAnsiTheme="minorHAnsi" w:cstheme="minorHAnsi"/>
                <w:sz w:val="20"/>
                <w:szCs w:val="20"/>
              </w:rPr>
              <w:t>Authorised</w:t>
            </w:r>
            <w:proofErr w:type="spellEnd"/>
            <w:r w:rsidRPr="00CA68A2">
              <w:rPr>
                <w:rFonts w:asciiTheme="minorHAnsi" w:hAnsiTheme="minorHAnsi" w:cstheme="minorHAnsi"/>
                <w:sz w:val="20"/>
                <w:szCs w:val="20"/>
              </w:rPr>
              <w:t xml:space="preserve">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 xml:space="preserve">a government, local authority (whether in the United Kingdom or elsewhere) or on international </w:t>
            </w:r>
            <w:proofErr w:type="spellStart"/>
            <w:r w:rsidRPr="00CA68A2">
              <w:rPr>
                <w:rFonts w:asciiTheme="minorHAnsi" w:hAnsiTheme="minorHAnsi" w:cstheme="minorHAnsi"/>
                <w:sz w:val="20"/>
                <w:szCs w:val="20"/>
              </w:rPr>
              <w:t>organisation</w:t>
            </w:r>
            <w:proofErr w:type="spellEnd"/>
            <w:r w:rsidRPr="00CA68A2">
              <w:rPr>
                <w:rFonts w:asciiTheme="minorHAnsi" w:hAnsiTheme="minorHAnsi" w:cstheme="minorHAnsi"/>
                <w:sz w:val="20"/>
                <w:szCs w:val="20"/>
              </w:rPr>
              <w:t>;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proofErr w:type="spellStart"/>
            <w:r w:rsidRPr="00CA68A2">
              <w:rPr>
                <w:rFonts w:asciiTheme="minorHAnsi" w:hAnsiTheme="minorHAnsi" w:cstheme="minorHAnsi"/>
                <w:sz w:val="20"/>
                <w:szCs w:val="20"/>
              </w:rPr>
              <w:t>any body</w:t>
            </w:r>
            <w:proofErr w:type="spellEnd"/>
            <w:r w:rsidRPr="00CA68A2">
              <w:rPr>
                <w:rFonts w:asciiTheme="minorHAnsi" w:hAnsiTheme="minorHAnsi" w:cstheme="minorHAnsi"/>
                <w:sz w:val="20"/>
                <w:szCs w:val="20"/>
              </w:rPr>
              <w:t xml:space="preserve">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324C355B"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A63604">
        <w:t>70276917</w:t>
      </w:r>
    </w:p>
    <w:p w14:paraId="2E779C1B" w14:textId="6E774A73"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A63604">
        <w:t>GB40BNTB60839870276917</w:t>
      </w:r>
    </w:p>
    <w:p w14:paraId="7BD39188" w14:textId="39DE65C8"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A63604">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3036A6A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A63604">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40C9AEDD"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In certain circumstances the Administrator may also act as a data controller of your personal data.  A copy of its privacy notice can be</w:t>
      </w:r>
      <w:r w:rsidR="00A63604">
        <w:rPr>
          <w:rFonts w:asciiTheme="minorHAnsi" w:eastAsia="SimSun" w:hAnsiTheme="minorHAnsi" w:cstheme="minorHAnsi"/>
          <w:bCs/>
          <w:sz w:val="20"/>
          <w:szCs w:val="20"/>
        </w:rPr>
        <w:t xml:space="preserv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784C94B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Those </w:t>
      </w:r>
      <w:proofErr w:type="spellStart"/>
      <w:r w:rsidRPr="00CA68A2">
        <w:rPr>
          <w:rFonts w:asciiTheme="minorHAnsi" w:eastAsia="SimSun" w:hAnsiTheme="minorHAnsi" w:cstheme="minorHAnsi"/>
          <w:bCs/>
          <w:sz w:val="20"/>
          <w:szCs w:val="20"/>
        </w:rPr>
        <w:t>authorised</w:t>
      </w:r>
      <w:proofErr w:type="spellEnd"/>
      <w:r w:rsidRPr="00CA68A2">
        <w:rPr>
          <w:rFonts w:asciiTheme="minorHAnsi" w:eastAsia="SimSun" w:hAnsiTheme="minorHAnsi" w:cstheme="minorHAnsi"/>
          <w:bCs/>
          <w:sz w:val="20"/>
          <w:szCs w:val="20"/>
        </w:rPr>
        <w:t xml:space="preserve">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32300A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122F4E" w:rsidRPr="00CA68A2">
        <w:rPr>
          <w:rFonts w:asciiTheme="minorHAnsi" w:hAnsiTheme="minorHAnsi" w:cstheme="minorHAnsi"/>
          <w:sz w:val="20"/>
          <w:szCs w:val="20"/>
          <w:lang w:eastAsia="en-GB"/>
        </w:rPr>
        <w:t>9</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20F136E4"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60D39B2C" w14:textId="77777777" w:rsidR="00A63604" w:rsidRDefault="00A63604" w:rsidP="007641CA">
      <w:pPr>
        <w:tabs>
          <w:tab w:val="left" w:pos="720"/>
        </w:tabs>
        <w:spacing w:before="240" w:line="276" w:lineRule="auto"/>
        <w:ind w:left="709"/>
        <w:rPr>
          <w:rFonts w:asciiTheme="minorHAnsi" w:eastAsia="SimSun" w:hAnsiTheme="minorHAnsi" w:cstheme="minorHAnsi"/>
          <w:bCs/>
          <w:sz w:val="20"/>
          <w:szCs w:val="20"/>
        </w:rPr>
      </w:pPr>
    </w:p>
    <w:p w14:paraId="22000985" w14:textId="0AA496F0" w:rsidR="00A63604" w:rsidRPr="00CA68A2" w:rsidRDefault="00A63604" w:rsidP="00A63604">
      <w:pPr>
        <w:autoSpaceDE w:val="0"/>
        <w:autoSpaceDN w:val="0"/>
        <w:spacing w:line="276" w:lineRule="auto"/>
        <w:rPr>
          <w:rFonts w:asciiTheme="minorHAnsi" w:hAnsiTheme="minorHAnsi" w:cstheme="minorHAnsi"/>
          <w:b/>
          <w:sz w:val="20"/>
          <w:szCs w:val="20"/>
        </w:rPr>
      </w:pPr>
      <w:r>
        <w:t xml:space="preserve"> </w:t>
      </w:r>
      <w:r>
        <w:tab/>
      </w:r>
      <w:hyperlink r:id="rId13" w:history="1">
        <w:r w:rsidRPr="00B85050">
          <w:rPr>
            <w:rStyle w:val="Hyperlink"/>
            <w:rFonts w:asciiTheme="minorHAnsi" w:hAnsiTheme="minorHAnsi" w:cstheme="minorHAnsi"/>
            <w:b/>
            <w:sz w:val="20"/>
            <w:szCs w:val="20"/>
          </w:rPr>
          <w:t>shareholder.guernsey@maitlandgroup.com</w:t>
        </w:r>
      </w:hyperlink>
      <w:r w:rsidRPr="00CA68A2">
        <w:rPr>
          <w:rFonts w:asciiTheme="minorHAnsi" w:hAnsiTheme="minorHAnsi" w:cstheme="minorHAnsi"/>
          <w:b/>
          <w:sz w:val="20"/>
          <w:szCs w:val="20"/>
        </w:rPr>
        <w:t xml:space="preserve">  </w:t>
      </w:r>
    </w:p>
    <w:p w14:paraId="369234CA" w14:textId="77777777" w:rsidR="00A63604" w:rsidRPr="00CA68A2" w:rsidRDefault="00A63604" w:rsidP="007641CA">
      <w:pPr>
        <w:tabs>
          <w:tab w:val="left" w:pos="720"/>
        </w:tabs>
        <w:spacing w:before="240" w:line="276" w:lineRule="auto"/>
        <w:ind w:left="709"/>
        <w:rPr>
          <w:rFonts w:asciiTheme="minorHAnsi" w:eastAsia="SimSun" w:hAnsiTheme="minorHAnsi" w:cstheme="minorHAnsi"/>
          <w:bCs/>
          <w:sz w:val="20"/>
          <w:szCs w:val="20"/>
        </w:rPr>
      </w:pPr>
    </w:p>
    <w:p w14:paraId="29A90E3F" w14:textId="23F38F90"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477359EA"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A63604">
        <w:rPr>
          <w:rFonts w:asciiTheme="minorHAnsi" w:eastAsia="SimSun" w:hAnsiTheme="minorHAnsi" w:cstheme="minorHAnsi"/>
          <w:bCs/>
          <w:sz w:val="20"/>
          <w:szCs w:val="20"/>
        </w:rPr>
        <w:t xml:space="preserve">February </w:t>
      </w:r>
      <w:r w:rsidR="00CB761C" w:rsidRPr="00CA68A2">
        <w:rPr>
          <w:rFonts w:asciiTheme="minorHAnsi" w:eastAsia="SimSun" w:hAnsiTheme="minorHAnsi" w:cstheme="minorHAnsi"/>
          <w:bCs/>
          <w:sz w:val="20"/>
          <w:szCs w:val="20"/>
        </w:rPr>
        <w:t>20</w:t>
      </w:r>
      <w:r w:rsidR="00057595" w:rsidRPr="00CA68A2">
        <w:rPr>
          <w:rFonts w:asciiTheme="minorHAnsi" w:eastAsia="SimSun" w:hAnsiTheme="minorHAnsi" w:cstheme="minorHAnsi"/>
          <w:bCs/>
          <w:sz w:val="20"/>
          <w:szCs w:val="20"/>
        </w:rPr>
        <w:t>2</w:t>
      </w:r>
      <w:r w:rsidR="00A63604">
        <w:rPr>
          <w:rFonts w:asciiTheme="minorHAnsi" w:eastAsia="SimSun" w:hAnsiTheme="minorHAnsi" w:cstheme="minorHAnsi"/>
          <w:bCs/>
          <w:sz w:val="20"/>
          <w:szCs w:val="20"/>
        </w:rPr>
        <w:t>4</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lastRenderedPageBreak/>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78BF0E72"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A63604">
                            <w:rPr>
                              <w:rFonts w:cs="Arial"/>
                              <w:color w:val="A6A6A6"/>
                              <w:sz w:val="16"/>
                              <w:szCs w:val="16"/>
                            </w:rPr>
                            <w:t>1 Royal Plaza, Royal Avenue</w:t>
                          </w:r>
                          <w:r w:rsidRPr="008E7647">
                            <w:rPr>
                              <w:rFonts w:cs="Arial"/>
                              <w:color w:val="A6A6A6"/>
                              <w:sz w:val="16"/>
                              <w:szCs w:val="16"/>
                            </w:rPr>
                            <w:t>, St Peter Port, Guernsey GY1 2H</w:t>
                          </w:r>
                          <w:r w:rsidR="00A63604">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78BF0E72"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A63604">
                      <w:rPr>
                        <w:rFonts w:cs="Arial"/>
                        <w:color w:val="A6A6A6"/>
                        <w:sz w:val="16"/>
                        <w:szCs w:val="16"/>
                      </w:rPr>
                      <w:t>1 Royal Plaza, Royal Avenue</w:t>
                    </w:r>
                    <w:r w:rsidRPr="008E7647">
                      <w:rPr>
                        <w:rFonts w:cs="Arial"/>
                        <w:color w:val="A6A6A6"/>
                        <w:sz w:val="16"/>
                        <w:szCs w:val="16"/>
                      </w:rPr>
                      <w:t>, St Peter Port, Guernsey GY1 2H</w:t>
                    </w:r>
                    <w:r w:rsidR="00A63604">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2B49D0FC" w:rsidR="002416A6" w:rsidRDefault="00032ADE" w:rsidP="006532F1">
    <w:pPr>
      <w:spacing w:line="312" w:lineRule="auto"/>
      <w:ind w:left="20"/>
      <w:jc w:val="center"/>
      <w:rPr>
        <w:b/>
        <w:sz w:val="21"/>
        <w:szCs w:val="21"/>
      </w:rPr>
    </w:pPr>
    <w:proofErr w:type="spellStart"/>
    <w:r>
      <w:rPr>
        <w:rFonts w:cs="Calibri"/>
        <w:b/>
        <w:sz w:val="21"/>
        <w:szCs w:val="21"/>
      </w:rPr>
      <w:t>Mi</w:t>
    </w:r>
    <w:r w:rsidR="002C0864">
      <w:rPr>
        <w:rFonts w:cs="Calibri"/>
        <w:b/>
        <w:sz w:val="21"/>
        <w:szCs w:val="21"/>
      </w:rPr>
      <w:t>ltonOptimal</w:t>
    </w:r>
    <w:proofErr w:type="spellEnd"/>
    <w:r w:rsidR="002C0864">
      <w:rPr>
        <w:rFonts w:cs="Calibri"/>
        <w:b/>
        <w:sz w:val="21"/>
        <w:szCs w:val="21"/>
      </w:rPr>
      <w:t xml:space="preserve"> International Managed Flexible </w:t>
    </w:r>
    <w:r w:rsidR="006830C3">
      <w:rPr>
        <w:rFonts w:cs="Calibri"/>
        <w:b/>
        <w:sz w:val="21"/>
        <w:szCs w:val="21"/>
      </w:rPr>
      <w:t>Fund</w:t>
    </w:r>
    <w:r w:rsidR="00007CD8">
      <w:rPr>
        <w:rFonts w:cs="Calibri"/>
        <w:b/>
        <w:sz w:val="21"/>
        <w:szCs w:val="21"/>
      </w:rPr>
      <w:t xml:space="preserve"> IC</w:t>
    </w:r>
    <w:r w:rsidR="002416A6" w:rsidRPr="00557F1E">
      <w:rPr>
        <w:rFonts w:cs="Calibri"/>
        <w:b/>
        <w:sz w:val="21"/>
        <w:szCs w:val="21"/>
      </w:rPr>
      <w:t xml:space="preserve">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549A16DC"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2C0864">
      <w:rPr>
        <w:rFonts w:cs="Calibri"/>
        <w:b/>
        <w:sz w:val="21"/>
        <w:szCs w:val="21"/>
      </w:rPr>
      <w:t>71753</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abstractNumId w:val="14"/>
  </w:num>
  <w:num w:numId="2">
    <w:abstractNumId w:val="7"/>
  </w:num>
  <w:num w:numId="3">
    <w:abstractNumId w:val="2"/>
  </w:num>
  <w:num w:numId="4">
    <w:abstractNumId w:val="3"/>
  </w:num>
  <w:num w:numId="5">
    <w:abstractNumId w:val="22"/>
  </w:num>
  <w:num w:numId="6">
    <w:abstractNumId w:val="4"/>
  </w:num>
  <w:num w:numId="7">
    <w:abstractNumId w:val="30"/>
  </w:num>
  <w:num w:numId="8">
    <w:abstractNumId w:val="13"/>
  </w:num>
  <w:num w:numId="9">
    <w:abstractNumId w:val="6"/>
  </w:num>
  <w:num w:numId="10">
    <w:abstractNumId w:val="15"/>
  </w:num>
  <w:num w:numId="11">
    <w:abstractNumId w:val="18"/>
  </w:num>
  <w:num w:numId="12">
    <w:abstractNumId w:val="0"/>
  </w:num>
  <w:num w:numId="1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3"/>
  </w:num>
  <w:num w:numId="15">
    <w:abstractNumId w:val="20"/>
  </w:num>
  <w:num w:numId="16">
    <w:abstractNumId w:val="8"/>
  </w:num>
  <w:num w:numId="17">
    <w:abstractNumId w:val="12"/>
  </w:num>
  <w:num w:numId="18">
    <w:abstractNumId w:val="17"/>
  </w:num>
  <w:num w:numId="19">
    <w:abstractNumId w:val="1"/>
  </w:num>
  <w:num w:numId="20">
    <w:abstractNumId w:val="9"/>
  </w:num>
  <w:num w:numId="21">
    <w:abstractNumId w:val="24"/>
  </w:num>
  <w:num w:numId="22">
    <w:abstractNumId w:val="25"/>
  </w:num>
  <w:num w:numId="23">
    <w:abstractNumId w:val="21"/>
  </w:num>
  <w:num w:numId="24">
    <w:abstractNumId w:val="1"/>
    <w:lvlOverride w:ilvl="0">
      <w:startOverride w:val="2"/>
    </w:lvlOverride>
    <w:lvlOverride w:ilvl="1">
      <w:startOverride w:val="2"/>
    </w:lvlOverride>
  </w:num>
  <w:num w:numId="25">
    <w:abstractNumId w:val="11"/>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abstractNumId w:val="19"/>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1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07CD8"/>
    <w:rsid w:val="00012766"/>
    <w:rsid w:val="000134C4"/>
    <w:rsid w:val="00014A9D"/>
    <w:rsid w:val="00015460"/>
    <w:rsid w:val="00020097"/>
    <w:rsid w:val="0002513F"/>
    <w:rsid w:val="00027CFC"/>
    <w:rsid w:val="00032ADE"/>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197"/>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0864"/>
    <w:rsid w:val="002C3924"/>
    <w:rsid w:val="002C491C"/>
    <w:rsid w:val="002D14B9"/>
    <w:rsid w:val="002D1FE0"/>
    <w:rsid w:val="002D525C"/>
    <w:rsid w:val="002E2A2E"/>
    <w:rsid w:val="002F56A4"/>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0092"/>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830C3"/>
    <w:rsid w:val="006911F1"/>
    <w:rsid w:val="006926DD"/>
    <w:rsid w:val="006957EE"/>
    <w:rsid w:val="00696AD6"/>
    <w:rsid w:val="006A2E61"/>
    <w:rsid w:val="006A50AE"/>
    <w:rsid w:val="006A5C27"/>
    <w:rsid w:val="006A6C0D"/>
    <w:rsid w:val="006A7BF2"/>
    <w:rsid w:val="006B1C7D"/>
    <w:rsid w:val="006B3FCB"/>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35AB"/>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1ED4"/>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868E8"/>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3604"/>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3DC9"/>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57AB"/>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E392C"/>
    <w:rsid w:val="00CF0F0B"/>
    <w:rsid w:val="00CF2BE7"/>
    <w:rsid w:val="00CF331E"/>
    <w:rsid w:val="00D0280E"/>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638"/>
    <w:rsid w:val="00DD0708"/>
    <w:rsid w:val="00DD12FA"/>
    <w:rsid w:val="00DD5C6D"/>
    <w:rsid w:val="00DE4EDF"/>
    <w:rsid w:val="00DF3A1E"/>
    <w:rsid w:val="00DF6A82"/>
    <w:rsid w:val="00DF753B"/>
    <w:rsid w:val="00DF7DA4"/>
    <w:rsid w:val="00E0297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maitland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maitland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2.xml><?xml version="1.0" encoding="utf-8"?>
<ds:datastoreItem xmlns:ds="http://schemas.openxmlformats.org/officeDocument/2006/customXml" ds:itemID="{E307802E-0C6A-44F8-9FF2-E91E3F1D6007}">
  <ds:schemaRefs>
    <ds:schemaRef ds:uri="http://www.w3.org/XML/1998/namespace"/>
    <ds:schemaRef ds:uri="http://schemas.microsoft.com/office/2006/documentManagement/types"/>
    <ds:schemaRef ds:uri="http://purl.org/dc/dcmitype/"/>
    <ds:schemaRef ds:uri="http://purl.org/dc/terms/"/>
    <ds:schemaRef ds:uri="http://purl.org/dc/elements/1.1/"/>
    <ds:schemaRef ds:uri="e577c0ca-79ed-4918-a858-e696dac9816b"/>
    <ds:schemaRef ds:uri="http://schemas.microsoft.com/office/infopath/2007/PartnerControls"/>
    <ds:schemaRef ds:uri="http://schemas.openxmlformats.org/package/2006/metadata/core-properties"/>
    <ds:schemaRef ds:uri="07c9e78d-1dfc-4d65-8a56-3023b3910bcc"/>
    <ds:schemaRef ds:uri="http://schemas.microsoft.com/office/2006/metadata/properties"/>
  </ds:schemaRefs>
</ds:datastoreItem>
</file>

<file path=customXml/itemProps3.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4.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customXml/itemProps5.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6552</Words>
  <Characters>37353</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43818</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2024-02-26T16:25:00Z</dcterms:created>
  <dcterms:modified xsi:type="dcterms:W3CDTF">2024-03-01T13:21:00Z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